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098" w:rsidRPr="006861EF" w:rsidRDefault="003E5244" w:rsidP="006861EF">
      <w:pPr>
        <w:jc w:val="center"/>
        <w:rPr>
          <w:rFonts w:ascii="Verdana" w:hAnsi="Verdana"/>
          <w:lang w:val="es-UY"/>
        </w:rPr>
      </w:pPr>
      <w:r>
        <w:rPr>
          <w:rFonts w:ascii="Verdana" w:hAnsi="Verdana"/>
          <w:lang w:val="es-UY"/>
        </w:rPr>
        <w:t xml:space="preserve"> </w:t>
      </w:r>
    </w:p>
    <w:p w:rsidR="00AD7BE3" w:rsidRDefault="00AD7BE3">
      <w:pPr>
        <w:rPr>
          <w:lang w:val="es-UY"/>
        </w:rPr>
      </w:pPr>
    </w:p>
    <w:p w:rsidR="006861EF" w:rsidRPr="00F8182F" w:rsidRDefault="006861EF" w:rsidP="00F8182F">
      <w:pPr>
        <w:ind w:firstLine="720"/>
        <w:jc w:val="both"/>
        <w:rPr>
          <w:sz w:val="22"/>
          <w:szCs w:val="22"/>
          <w:lang w:val="es-UY"/>
        </w:rPr>
      </w:pPr>
      <w:r w:rsidRPr="00F8182F">
        <w:rPr>
          <w:sz w:val="22"/>
          <w:szCs w:val="22"/>
          <w:lang w:val="es-UY"/>
        </w:rPr>
        <w:t>La precipitación y su variab</w:t>
      </w:r>
      <w:r w:rsidR="00281360">
        <w:rPr>
          <w:sz w:val="22"/>
          <w:szCs w:val="22"/>
          <w:lang w:val="es-UY"/>
        </w:rPr>
        <w:t>ilidad constituyen un elemento central d</w:t>
      </w:r>
      <w:r w:rsidRPr="00F8182F">
        <w:rPr>
          <w:sz w:val="22"/>
          <w:szCs w:val="22"/>
          <w:lang w:val="es-UY"/>
        </w:rPr>
        <w:t xml:space="preserve">el clima en Uruguay. </w:t>
      </w:r>
      <w:r w:rsidR="00046509" w:rsidRPr="00F8182F">
        <w:rPr>
          <w:sz w:val="22"/>
          <w:szCs w:val="22"/>
          <w:lang w:val="es-UY"/>
        </w:rPr>
        <w:t>Hemos visto los procesos en gran escala que determinan su régimen. Ahora veremos cuantitativamente cuál es</w:t>
      </w:r>
      <w:r w:rsidR="00281360">
        <w:rPr>
          <w:sz w:val="22"/>
          <w:szCs w:val="22"/>
          <w:lang w:val="es-UY"/>
        </w:rPr>
        <w:t xml:space="preserve"> éste</w:t>
      </w:r>
      <w:r w:rsidR="00046509" w:rsidRPr="00F8182F">
        <w:rPr>
          <w:sz w:val="22"/>
          <w:szCs w:val="22"/>
          <w:lang w:val="es-UY"/>
        </w:rPr>
        <w:t>. En vez del promedio, usamos la mediana, la cual es el valor que separa un</w:t>
      </w:r>
      <w:r w:rsidR="00281360">
        <w:rPr>
          <w:sz w:val="22"/>
          <w:szCs w:val="22"/>
          <w:lang w:val="es-UY"/>
        </w:rPr>
        <w:t xml:space="preserve"> </w:t>
      </w:r>
      <w:r w:rsidR="00046509" w:rsidRPr="00F8182F">
        <w:rPr>
          <w:sz w:val="22"/>
          <w:szCs w:val="22"/>
          <w:lang w:val="es-UY"/>
        </w:rPr>
        <w:t>con</w:t>
      </w:r>
      <w:r w:rsidR="00281360">
        <w:rPr>
          <w:sz w:val="22"/>
          <w:szCs w:val="22"/>
          <w:lang w:val="es-UY"/>
        </w:rPr>
        <w:t>junt</w:t>
      </w:r>
      <w:r w:rsidR="00046509" w:rsidRPr="00F8182F">
        <w:rPr>
          <w:sz w:val="22"/>
          <w:szCs w:val="22"/>
          <w:lang w:val="es-UY"/>
        </w:rPr>
        <w:t>o de datos ordenados, en mitades de igual número</w:t>
      </w:r>
      <w:r w:rsidR="00281360">
        <w:rPr>
          <w:sz w:val="22"/>
          <w:szCs w:val="22"/>
          <w:lang w:val="es-UY"/>
        </w:rPr>
        <w:t xml:space="preserve"> (50%-50% de los casos)</w:t>
      </w:r>
      <w:r w:rsidR="00046509" w:rsidRPr="00F8182F">
        <w:rPr>
          <w:sz w:val="22"/>
          <w:szCs w:val="22"/>
          <w:lang w:val="es-UY"/>
        </w:rPr>
        <w:t xml:space="preserve">. </w:t>
      </w:r>
    </w:p>
    <w:p w:rsidR="006861EF" w:rsidRPr="00F8182F" w:rsidRDefault="00046509" w:rsidP="00046509">
      <w:pPr>
        <w:jc w:val="both"/>
        <w:rPr>
          <w:sz w:val="22"/>
          <w:szCs w:val="22"/>
          <w:lang w:val="es-UY"/>
        </w:rPr>
      </w:pPr>
      <w:r w:rsidRPr="00F8182F">
        <w:rPr>
          <w:sz w:val="22"/>
          <w:szCs w:val="22"/>
          <w:lang w:val="es-UY"/>
        </w:rPr>
        <w:t>Así, la figura siguiente muestra cómo es la distribución de las medianas en 8 puntos representativos del territorio. Pero la precipitación constituye el “input”</w:t>
      </w:r>
      <w:r w:rsidR="00096CAE" w:rsidRPr="00F8182F">
        <w:rPr>
          <w:sz w:val="22"/>
          <w:szCs w:val="22"/>
          <w:lang w:val="es-UY"/>
        </w:rPr>
        <w:t xml:space="preserve"> al sistema terrestre. En la segunda figura vemos la marcha de la Evapotranspiración potencial climática para 29 puntos del país</w:t>
      </w:r>
      <w:r w:rsidR="00281360">
        <w:rPr>
          <w:sz w:val="22"/>
          <w:szCs w:val="22"/>
          <w:lang w:val="es-UY"/>
        </w:rPr>
        <w:t xml:space="preserve"> (estimación del output)</w:t>
      </w:r>
      <w:r w:rsidR="00096CAE" w:rsidRPr="00F8182F">
        <w:rPr>
          <w:sz w:val="22"/>
          <w:szCs w:val="22"/>
          <w:lang w:val="es-UY"/>
        </w:rPr>
        <w:t xml:space="preserve">. </w:t>
      </w:r>
    </w:p>
    <w:p w:rsidR="00F8182F" w:rsidRPr="00F8182F" w:rsidRDefault="00F8182F" w:rsidP="00F8182F">
      <w:pPr>
        <w:ind w:firstLine="720"/>
        <w:jc w:val="both"/>
        <w:rPr>
          <w:sz w:val="22"/>
          <w:szCs w:val="22"/>
          <w:lang w:val="es-UY"/>
        </w:rPr>
      </w:pPr>
      <w:r w:rsidRPr="00281360">
        <w:rPr>
          <w:b/>
          <w:sz w:val="22"/>
          <w:szCs w:val="22"/>
          <w:lang w:val="es-UY"/>
        </w:rPr>
        <w:t>Evapotranspración potencial</w:t>
      </w:r>
      <w:r w:rsidRPr="00F8182F">
        <w:rPr>
          <w:sz w:val="22"/>
          <w:szCs w:val="22"/>
          <w:lang w:val="es-UY"/>
        </w:rPr>
        <w:t xml:space="preserve"> es la cantidad de agua pasible de ser perdida en fase vapor por un suelo totalmente cubierto de una vegetación baja y densa (pastura), </w:t>
      </w:r>
      <w:r w:rsidRPr="00281360">
        <w:rPr>
          <w:sz w:val="22"/>
          <w:szCs w:val="22"/>
          <w:u w:val="single"/>
          <w:lang w:val="es-UY"/>
        </w:rPr>
        <w:t>si no existieran limitaciones de agua en el suelo</w:t>
      </w:r>
      <w:r w:rsidRPr="00F8182F">
        <w:rPr>
          <w:sz w:val="22"/>
          <w:szCs w:val="22"/>
          <w:lang w:val="es-UY"/>
        </w:rPr>
        <w:t xml:space="preserve">. Incluye la tanspiración de las plantas </w:t>
      </w:r>
      <w:r w:rsidR="00281360">
        <w:rPr>
          <w:sz w:val="22"/>
          <w:szCs w:val="22"/>
          <w:lang w:val="es-UY"/>
        </w:rPr>
        <w:t xml:space="preserve">y la evaporación directa desde </w:t>
      </w:r>
      <w:r w:rsidRPr="00F8182F">
        <w:rPr>
          <w:sz w:val="22"/>
          <w:szCs w:val="22"/>
          <w:lang w:val="es-UY"/>
        </w:rPr>
        <w:t>la superficie y los primeros centímetros de suelo. En la práctica indica la llamada “demanda atmosférica” de agua, y puede tomarse como los requerimientos máximos de una pastura, en cada una de las condiciones de temperatura, radiación, viento y humedad que puedan estar ocurriendo. Esto indica que son estas variables las que deteminan su valor, y no la cantidad de agua existente en el suelo (de ahí el carácter “potencial” de la variable). Los valores climáticos que se indican a continuación fueron calculados por el método de Linacre (1977).</w:t>
      </w:r>
    </w:p>
    <w:p w:rsidR="006861EF" w:rsidRPr="00F8182F" w:rsidRDefault="006861EF">
      <w:pPr>
        <w:rPr>
          <w:sz w:val="12"/>
          <w:szCs w:val="12"/>
          <w:lang w:val="es-UY"/>
        </w:rPr>
      </w:pPr>
    </w:p>
    <w:tbl>
      <w:tblPr>
        <w:tblStyle w:val="Tablaconcuadrcula"/>
        <w:tblW w:w="0" w:type="auto"/>
        <w:tblInd w:w="108" w:type="dxa"/>
        <w:tblLook w:val="01E0"/>
      </w:tblPr>
      <w:tblGrid>
        <w:gridCol w:w="7420"/>
        <w:gridCol w:w="1436"/>
      </w:tblGrid>
      <w:tr w:rsidR="00AD7BE3">
        <w:trPr>
          <w:cantSplit/>
          <w:trHeight w:val="1134"/>
        </w:trPr>
        <w:tc>
          <w:tcPr>
            <w:tcW w:w="7312" w:type="dxa"/>
          </w:tcPr>
          <w:p w:rsidR="00AD7BE3" w:rsidRDefault="00AD7BE3">
            <w:pPr>
              <w:rPr>
                <w:lang w:val="es-UY"/>
              </w:rPr>
            </w:pPr>
            <w:r w:rsidRPr="00AD7BE3">
              <w:object w:dxaOrig="7204"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5pt">
                  <v:imagedata r:id="rId7" o:title=""/>
                </v:shape>
              </w:object>
            </w:r>
          </w:p>
        </w:tc>
        <w:tc>
          <w:tcPr>
            <w:tcW w:w="1436" w:type="dxa"/>
            <w:textDirection w:val="btLr"/>
          </w:tcPr>
          <w:p w:rsidR="00AD7BE3" w:rsidRDefault="00503966" w:rsidP="00503966">
            <w:pPr>
              <w:spacing w:before="120"/>
              <w:ind w:left="113" w:right="113"/>
              <w:jc w:val="center"/>
              <w:rPr>
                <w:lang w:val="es-UY"/>
              </w:rPr>
            </w:pPr>
            <w:r>
              <w:rPr>
                <w:lang w:val="es-UY"/>
              </w:rPr>
              <w:t>Ciclo anual de la precipitación- Medianas mensuales del período 1948-2000</w:t>
            </w:r>
          </w:p>
        </w:tc>
      </w:tr>
    </w:tbl>
    <w:p w:rsidR="00F129DD" w:rsidRDefault="00F129DD" w:rsidP="00F129DD">
      <w:pPr>
        <w:spacing w:before="40" w:after="40"/>
        <w:jc w:val="both"/>
        <w:rPr>
          <w:lang w:val="es-UY"/>
        </w:rPr>
      </w:pPr>
    </w:p>
    <w:p w:rsidR="00F129DD" w:rsidRDefault="00F129DD" w:rsidP="00F129DD">
      <w:pPr>
        <w:spacing w:before="40" w:after="40"/>
        <w:jc w:val="both"/>
        <w:rPr>
          <w:lang w:val="es-UY"/>
        </w:rPr>
      </w:pPr>
      <w:r>
        <w:rPr>
          <w:lang w:val="es-UY"/>
        </w:rPr>
        <w:t xml:space="preserve">     </w:t>
      </w:r>
      <w:r w:rsidRPr="00F8182F">
        <w:rPr>
          <w:lang w:val="es-UY"/>
        </w:rPr>
        <w:t xml:space="preserve"> </w:t>
      </w:r>
      <w:r>
        <w:rPr>
          <w:lang w:val="es-UY"/>
        </w:rPr>
        <w:t xml:space="preserve">La evapotranspiración potencial varía en cada mes de cada año, pero su variabilidad es mucho menor que la de la precipitación. Esta última fue calculada utilizando el coeficiente de variabilidad relativa, el cual es el cociente de la media por la desviación standard. </w:t>
      </w:r>
    </w:p>
    <w:p w:rsidR="00F129DD" w:rsidRPr="00F129DD" w:rsidRDefault="00F129DD">
      <w:pPr>
        <w:rPr>
          <w:lang w:val="es-UY"/>
        </w:rPr>
      </w:pPr>
    </w:p>
    <w:tbl>
      <w:tblPr>
        <w:tblStyle w:val="Tablaconcuadrcula"/>
        <w:tblW w:w="0" w:type="auto"/>
        <w:tblLook w:val="01E0"/>
      </w:tblPr>
      <w:tblGrid>
        <w:gridCol w:w="7420"/>
        <w:gridCol w:w="1436"/>
      </w:tblGrid>
      <w:tr w:rsidR="00AD7BE3">
        <w:trPr>
          <w:cantSplit/>
          <w:trHeight w:val="1134"/>
        </w:trPr>
        <w:tc>
          <w:tcPr>
            <w:tcW w:w="7420" w:type="dxa"/>
          </w:tcPr>
          <w:p w:rsidR="00AD7BE3" w:rsidRDefault="00503966">
            <w:pPr>
              <w:rPr>
                <w:lang w:val="es-UY"/>
              </w:rPr>
            </w:pPr>
            <w:r w:rsidRPr="00503966">
              <w:object w:dxaOrig="7204" w:dyaOrig="5393">
                <v:shape id="_x0000_i1026" type="#_x0000_t75" style="width:5in;height:270pt">
                  <v:imagedata r:id="rId8" o:title=""/>
                </v:shape>
              </w:object>
            </w:r>
          </w:p>
        </w:tc>
        <w:tc>
          <w:tcPr>
            <w:tcW w:w="1436" w:type="dxa"/>
            <w:textDirection w:val="btLr"/>
          </w:tcPr>
          <w:p w:rsidR="00AD7BE3" w:rsidRDefault="00503966" w:rsidP="00503966">
            <w:pPr>
              <w:spacing w:before="120"/>
              <w:ind w:left="113" w:right="113"/>
              <w:jc w:val="center"/>
              <w:rPr>
                <w:lang w:val="es-UY"/>
              </w:rPr>
            </w:pPr>
            <w:r>
              <w:rPr>
                <w:lang w:val="es-UY"/>
              </w:rPr>
              <w:t>Ciclo anual de la evapotranspiración potencial para 29 puntos seleccionados del territorio, y mediana general</w:t>
            </w:r>
          </w:p>
        </w:tc>
      </w:tr>
    </w:tbl>
    <w:p w:rsidR="006C4039" w:rsidRPr="00F129DD" w:rsidRDefault="006C4039" w:rsidP="00F129DD">
      <w:pPr>
        <w:spacing w:before="60" w:after="60"/>
        <w:jc w:val="both"/>
        <w:rPr>
          <w:sz w:val="22"/>
          <w:szCs w:val="22"/>
          <w:lang w:val="es-ES"/>
        </w:rPr>
      </w:pPr>
      <w:r w:rsidRPr="00F129DD">
        <w:rPr>
          <w:sz w:val="22"/>
          <w:szCs w:val="22"/>
          <w:lang w:val="es-UY"/>
        </w:rPr>
        <w:t>El período considerado es de 53 años. P</w:t>
      </w:r>
      <w:r w:rsidR="00F8182F" w:rsidRPr="00F129DD">
        <w:rPr>
          <w:sz w:val="22"/>
          <w:szCs w:val="22"/>
          <w:lang w:val="es-UY"/>
        </w:rPr>
        <w:t>ara cada mes y para cad</w:t>
      </w:r>
      <w:r w:rsidRPr="00F129DD">
        <w:rPr>
          <w:sz w:val="22"/>
          <w:szCs w:val="22"/>
          <w:lang w:val="es-UY"/>
        </w:rPr>
        <w:t xml:space="preserve">a uno de los 29 puntos escogidos tenemos una serie de datos a la cual se le ha calculado su desvío Standard y su promedio. Se tienen 12x29=348 coeficientes de variación. A esta nueva serie de datos se le calculó sus “cuartiles extremos" </w:t>
      </w:r>
      <w:r w:rsidRPr="00F129DD">
        <w:rPr>
          <w:sz w:val="22"/>
          <w:szCs w:val="22"/>
          <w:lang w:val="es-ES_tradnl"/>
        </w:rPr>
        <w:t>(</w:t>
      </w:r>
      <w:r w:rsidRPr="00F129DD">
        <w:rPr>
          <w:b/>
          <w:bCs/>
          <w:sz w:val="22"/>
          <w:szCs w:val="22"/>
          <w:lang w:val="es-ES_tradnl"/>
        </w:rPr>
        <w:t>Q1</w:t>
      </w:r>
      <w:r w:rsidRPr="00F129DD">
        <w:rPr>
          <w:sz w:val="22"/>
          <w:szCs w:val="22"/>
          <w:lang w:val="es-ES_tradnl"/>
        </w:rPr>
        <w:t xml:space="preserve">:valor que separa el 25% de los casos </w:t>
      </w:r>
      <w:r w:rsidRPr="00F129DD">
        <w:rPr>
          <w:b/>
          <w:bCs/>
          <w:sz w:val="22"/>
          <w:szCs w:val="22"/>
          <w:lang w:val="es-ES_tradnl"/>
        </w:rPr>
        <w:t>menores</w:t>
      </w:r>
      <w:r w:rsidRPr="00F129DD">
        <w:rPr>
          <w:sz w:val="22"/>
          <w:szCs w:val="22"/>
          <w:lang w:val="es-ES_tradnl"/>
        </w:rPr>
        <w:t>) y superior(</w:t>
      </w:r>
      <w:r w:rsidRPr="00F129DD">
        <w:rPr>
          <w:b/>
          <w:bCs/>
          <w:sz w:val="22"/>
          <w:szCs w:val="22"/>
          <w:lang w:val="es-ES_tradnl"/>
        </w:rPr>
        <w:t>Q3</w:t>
      </w:r>
      <w:r w:rsidRPr="00F129DD">
        <w:rPr>
          <w:sz w:val="22"/>
          <w:szCs w:val="22"/>
          <w:lang w:val="es-ES_tradnl"/>
        </w:rPr>
        <w:t xml:space="preserve">:valor que separa el 25% de los casos </w:t>
      </w:r>
      <w:r w:rsidRPr="00F129DD">
        <w:rPr>
          <w:b/>
          <w:bCs/>
          <w:sz w:val="22"/>
          <w:szCs w:val="22"/>
          <w:lang w:val="es-ES_tradnl"/>
        </w:rPr>
        <w:t>mayores</w:t>
      </w:r>
      <w:r w:rsidRPr="00F129DD">
        <w:rPr>
          <w:sz w:val="22"/>
          <w:szCs w:val="22"/>
          <w:lang w:val="es-ES_tradnl"/>
        </w:rPr>
        <w:t xml:space="preserve">). Con ello se pudo establecer ((Figura siguiente) los meses menos variables (marzo y setiembre) y los más variables (febrero y abril). También se aprecia que la región con menor variabilidad es el </w:t>
      </w:r>
      <w:r w:rsidRPr="00F129DD">
        <w:rPr>
          <w:b/>
          <w:bCs/>
          <w:sz w:val="22"/>
          <w:szCs w:val="22"/>
          <w:lang w:val="es-ES_tradnl"/>
        </w:rPr>
        <w:t>Sur</w:t>
      </w:r>
      <w:r w:rsidRPr="00F129DD">
        <w:rPr>
          <w:sz w:val="22"/>
          <w:szCs w:val="22"/>
          <w:lang w:val="es-ES_tradnl"/>
        </w:rPr>
        <w:t xml:space="preserve"> </w:t>
      </w:r>
      <w:r w:rsidRPr="00F129DD">
        <w:rPr>
          <w:i/>
          <w:iCs/>
          <w:sz w:val="22"/>
          <w:szCs w:val="22"/>
          <w:lang w:val="es-ES_tradnl"/>
        </w:rPr>
        <w:t>(más Bella Unión</w:t>
      </w:r>
      <w:r w:rsidRPr="00F129DD">
        <w:rPr>
          <w:sz w:val="22"/>
          <w:szCs w:val="22"/>
          <w:lang w:val="es-ES_tradnl"/>
        </w:rPr>
        <w:t>), mientras que los puntos con mayor variabilidad se sitúan en una especie de medialuna con centro en Salto (el punto de mayor variabilidad) y apuntando a Montevideo, sin llegar. (</w:t>
      </w:r>
      <w:r w:rsidRPr="00F129DD">
        <w:rPr>
          <w:i/>
          <w:iCs/>
          <w:sz w:val="22"/>
          <w:szCs w:val="22"/>
          <w:lang w:val="es-ES_tradnl"/>
        </w:rPr>
        <w:t>más Chuy</w:t>
      </w:r>
      <w:r w:rsidRPr="00F129DD">
        <w:rPr>
          <w:sz w:val="22"/>
          <w:szCs w:val="22"/>
          <w:lang w:val="es-ES_tradnl"/>
        </w:rPr>
        <w:t>)</w:t>
      </w:r>
    </w:p>
    <w:tbl>
      <w:tblPr>
        <w:tblStyle w:val="Tablaconcuadrcula"/>
        <w:tblW w:w="0" w:type="auto"/>
        <w:tblLook w:val="01E0"/>
      </w:tblPr>
      <w:tblGrid>
        <w:gridCol w:w="8208"/>
      </w:tblGrid>
      <w:tr w:rsidR="00F129DD">
        <w:tc>
          <w:tcPr>
            <w:tcW w:w="8208" w:type="dxa"/>
          </w:tcPr>
          <w:p w:rsidR="00F129DD" w:rsidRDefault="00F129DD">
            <w:r w:rsidRPr="003E6C92">
              <w:object w:dxaOrig="4308" w:dyaOrig="2712">
                <v:shape id="_x0000_i1027" type="#_x0000_t75" style="width:359.25pt;height:225.75pt" o:ole="">
                  <v:imagedata r:id="rId9" o:title=""/>
                </v:shape>
                <o:OLEObject Type="Embed" ProgID="PBrush" ShapeID="_x0000_i1027" DrawAspect="Content" ObjectID="_1519129596" r:id="rId10"/>
              </w:object>
            </w:r>
          </w:p>
        </w:tc>
      </w:tr>
      <w:tr w:rsidR="00F129DD">
        <w:tc>
          <w:tcPr>
            <w:tcW w:w="8208" w:type="dxa"/>
          </w:tcPr>
          <w:p w:rsidR="00F129DD" w:rsidRDefault="00F129DD" w:rsidP="00F129DD">
            <w:pPr>
              <w:jc w:val="center"/>
              <w:rPr>
                <w:lang w:val="es-UY"/>
              </w:rPr>
            </w:pPr>
            <w:r>
              <w:rPr>
                <w:lang w:val="es-UY"/>
              </w:rPr>
              <w:t>Figuras mostrando los puntos y los meses más y menos variables a escala del país</w:t>
            </w:r>
          </w:p>
        </w:tc>
      </w:tr>
    </w:tbl>
    <w:p w:rsidR="00607824" w:rsidRDefault="00607824">
      <w:pPr>
        <w:rPr>
          <w:lang w:val="es-UY"/>
        </w:rPr>
      </w:pPr>
    </w:p>
    <w:p w:rsidR="00607824" w:rsidRPr="00F129DD" w:rsidRDefault="00F129DD">
      <w:pPr>
        <w:rPr>
          <w:sz w:val="22"/>
          <w:szCs w:val="22"/>
          <w:lang w:val="es-UY"/>
        </w:rPr>
      </w:pPr>
      <w:r w:rsidRPr="00F129DD">
        <w:rPr>
          <w:sz w:val="22"/>
          <w:szCs w:val="22"/>
          <w:lang w:val="es-UY"/>
        </w:rPr>
        <w:t>Por último, se comparte más abajo los resultados de la distribución espacial de un índice climático a lo largo del añ</w:t>
      </w:r>
      <w:r w:rsidR="00281360">
        <w:rPr>
          <w:sz w:val="22"/>
          <w:szCs w:val="22"/>
          <w:lang w:val="es-UY"/>
        </w:rPr>
        <w:t>o</w:t>
      </w:r>
      <w:r w:rsidRPr="00F129DD">
        <w:rPr>
          <w:sz w:val="22"/>
          <w:szCs w:val="22"/>
          <w:lang w:val="es-UY"/>
        </w:rPr>
        <w:t xml:space="preserve">, comparándolo con la distribución mediana de la precipitación. </w:t>
      </w:r>
    </w:p>
    <w:p w:rsidR="00607824" w:rsidRDefault="00607824">
      <w:pPr>
        <w:rPr>
          <w:lang w:val="es-UY"/>
        </w:rPr>
      </w:pPr>
    </w:p>
    <w:p w:rsidR="00F129DD" w:rsidRDefault="00607824" w:rsidP="00F129DD">
      <w:pPr>
        <w:pStyle w:val="Textoindependiente"/>
        <w:spacing w:before="120" w:after="120"/>
        <w:rPr>
          <w:rFonts w:ascii="Times New Roman" w:hAnsi="Times New Roman"/>
          <w:b/>
          <w:lang w:val="es-ES_tradnl"/>
        </w:rPr>
      </w:pPr>
      <w:r>
        <w:rPr>
          <w:rFonts w:ascii="Times New Roman" w:hAnsi="Times New Roman"/>
          <w:b/>
          <w:lang w:val="es-ES_tradnl"/>
        </w:rPr>
        <w:lastRenderedPageBreak/>
        <w:t>El Indice Hídrico - Car</w:t>
      </w:r>
      <w:r w:rsidR="00F129DD">
        <w:rPr>
          <w:rFonts w:ascii="Times New Roman" w:hAnsi="Times New Roman"/>
          <w:b/>
          <w:lang w:val="es-ES_tradnl"/>
        </w:rPr>
        <w:t>acterización climática regional</w:t>
      </w:r>
    </w:p>
    <w:p w:rsidR="00607824" w:rsidRPr="00F129DD" w:rsidRDefault="00607824" w:rsidP="00607824">
      <w:pPr>
        <w:rPr>
          <w:sz w:val="16"/>
          <w:szCs w:val="16"/>
          <w:lang w:val="es-ES_tradnl"/>
        </w:rPr>
      </w:pPr>
    </w:p>
    <w:p w:rsidR="00607824" w:rsidRPr="00607824" w:rsidRDefault="00607824" w:rsidP="00607824">
      <w:pPr>
        <w:rPr>
          <w:b/>
          <w:sz w:val="25"/>
          <w:szCs w:val="25"/>
          <w:lang w:val="es-UY"/>
        </w:rPr>
      </w:pPr>
      <w:r w:rsidRPr="00607824">
        <w:rPr>
          <w:b/>
          <w:sz w:val="25"/>
          <w:szCs w:val="25"/>
          <w:lang w:val="es-UY"/>
        </w:rPr>
        <w:t xml:space="preserve">IV.1  Utilidad y limitaciones de la variable. </w:t>
      </w:r>
    </w:p>
    <w:p w:rsidR="00607824" w:rsidRPr="00607824" w:rsidRDefault="00607824" w:rsidP="00607824">
      <w:pPr>
        <w:rPr>
          <w:b/>
          <w:lang w:val="es-UY"/>
        </w:rPr>
      </w:pPr>
    </w:p>
    <w:p w:rsidR="00607824" w:rsidRPr="00607824" w:rsidRDefault="00607824" w:rsidP="00607824">
      <w:pPr>
        <w:ind w:left="360" w:firstLine="360"/>
        <w:jc w:val="both"/>
        <w:rPr>
          <w:lang w:val="es-UY"/>
        </w:rPr>
      </w:pPr>
      <w:r w:rsidRPr="00607824">
        <w:rPr>
          <w:lang w:val="es-UY"/>
        </w:rPr>
        <w:t>El balance hídrico seriado constituye la herramienta agroclimática más eficaz para estimar la dinámica de la disponibilidad de agua para el sistema terrestre, tanto para suelos  (Pascale y Damario 1977), como también para el potencial de los acuíferos (Bultot y Dupriez, 1974, Caffera 1984).  Sin embargo, tanto la no-disponibilidad de series de tiempo confiables de las variables atmosféricas, intervinientes en el cálculo seriado de la evapotranspiración por el método de referencia, así como también, en este caso particular, la heterogeneidad de suelos y ambientes del territorio considerado, hacen necesario que el tema sea abordado desde otro ángulo.  En toda la llamada "región pampeana" argentina, así como la totalidad del territorio uruguayo, esas dificultades han sido resueltas parcialmente, mediante el empleo de la evapotranspiración potencial climática en lugar de la demanda atmosférica real. Por ejemplo,  J. Forte-Lay (</w:t>
      </w:r>
      <w:r w:rsidRPr="00607824">
        <w:rPr>
          <w:bCs/>
          <w:spacing w:val="-3"/>
          <w:lang w:val="es-UY"/>
        </w:rPr>
        <w:t>Forte-Lay y Aiello</w:t>
      </w:r>
      <w:r w:rsidRPr="00607824">
        <w:rPr>
          <w:lang w:val="es-UY"/>
        </w:rPr>
        <w:t xml:space="preserve"> 1996), realiza en tiempo operativo, en la Comisión Nacional de Actividades Espaciales (CONAE, Argentina), la cartografía de disponibilidad de agua en suelos representativos para la "Región Pampeana" estimada mediante un balance hídrico seriado que mantiene la ETP mensual igual a la climática mensual.  </w:t>
      </w:r>
    </w:p>
    <w:p w:rsidR="00607824" w:rsidRPr="00F129DD" w:rsidRDefault="00607824" w:rsidP="00607824">
      <w:pPr>
        <w:rPr>
          <w:sz w:val="12"/>
          <w:szCs w:val="12"/>
          <w:lang w:val="es-UY"/>
        </w:rPr>
      </w:pPr>
    </w:p>
    <w:p w:rsidR="00607824" w:rsidRPr="00607824" w:rsidRDefault="00607824" w:rsidP="00607824">
      <w:pPr>
        <w:ind w:left="360"/>
        <w:jc w:val="both"/>
        <w:rPr>
          <w:lang w:val="es-UY"/>
        </w:rPr>
      </w:pPr>
      <w:r w:rsidRPr="00607824">
        <w:rPr>
          <w:lang w:val="es-UY"/>
        </w:rPr>
        <w:tab/>
        <w:t>También en Uruguay, la aproximación ETP</w:t>
      </w:r>
      <w:r w:rsidRPr="00607824">
        <w:rPr>
          <w:b/>
          <w:vertAlign w:val="subscript"/>
          <w:lang w:val="es-UY"/>
        </w:rPr>
        <w:t>real</w:t>
      </w:r>
      <w:r w:rsidRPr="00607824">
        <w:rPr>
          <w:lang w:val="es-UY"/>
        </w:rPr>
        <w:t xml:space="preserve"> ~ ETP</w:t>
      </w:r>
      <w:r w:rsidRPr="00607824">
        <w:rPr>
          <w:b/>
          <w:vertAlign w:val="subscript"/>
          <w:lang w:val="es-UY"/>
        </w:rPr>
        <w:t>climática</w:t>
      </w:r>
      <w:r w:rsidRPr="00607824">
        <w:rPr>
          <w:lang w:val="es-UY"/>
        </w:rPr>
        <w:t xml:space="preserve"> ha servido tanto para brindar información operativa en los Boletines Agrometeorológicos del Servicio Meteorológico Nacional, como también </w:t>
      </w:r>
      <w:r w:rsidRPr="00607824">
        <w:rPr>
          <w:sz w:val="23"/>
          <w:lang w:val="es-UY"/>
        </w:rPr>
        <w:t>- con la misma simplificación de utilizar la lluvia normal en vez de la real recientemente señalada -</w:t>
      </w:r>
      <w:r w:rsidRPr="00607824">
        <w:rPr>
          <w:sz w:val="22"/>
          <w:lang w:val="es-UY"/>
        </w:rPr>
        <w:t xml:space="preserve">  </w:t>
      </w:r>
      <w:r w:rsidRPr="00607824">
        <w:rPr>
          <w:lang w:val="es-UY"/>
        </w:rPr>
        <w:t xml:space="preserve">para caracterización del régimen hídrico medio, en estudios de regionalización agroclimática del territorio (Boshell y Chiara 1982). En este caso se define un índice hídrico (en adelante </w:t>
      </w:r>
      <w:r w:rsidRPr="00607824">
        <w:rPr>
          <w:i/>
          <w:lang w:val="es-UY"/>
        </w:rPr>
        <w:t>IH</w:t>
      </w:r>
      <w:r w:rsidRPr="00607824">
        <w:rPr>
          <w:lang w:val="es-UY"/>
        </w:rPr>
        <w:t xml:space="preserve">), como el cociente entre la precipitación y la ETP climática. </w:t>
      </w:r>
    </w:p>
    <w:p w:rsidR="00607824" w:rsidRPr="00607824" w:rsidRDefault="00607824" w:rsidP="00607824">
      <w:pPr>
        <w:ind w:left="360"/>
        <w:jc w:val="both"/>
        <w:rPr>
          <w:lang w:val="es-UY"/>
        </w:rPr>
      </w:pPr>
    </w:p>
    <w:p w:rsidR="00607824" w:rsidRPr="00607824" w:rsidRDefault="00607824" w:rsidP="00607824">
      <w:pPr>
        <w:ind w:left="360"/>
        <w:jc w:val="both"/>
        <w:rPr>
          <w:rFonts w:ascii="Arial" w:hAnsi="Arial"/>
          <w:sz w:val="18"/>
          <w:lang w:val="es-UY"/>
        </w:rPr>
      </w:pPr>
      <w:r w:rsidRPr="00607824">
        <w:rPr>
          <w:lang w:val="es-UY"/>
        </w:rPr>
        <w:tab/>
      </w:r>
      <w:r w:rsidRPr="00607824">
        <w:rPr>
          <w:lang w:val="es-UY"/>
        </w:rPr>
        <w:tab/>
      </w:r>
      <w:r w:rsidRPr="00607824">
        <w:rPr>
          <w:lang w:val="es-UY"/>
        </w:rPr>
        <w:tab/>
      </w:r>
      <w:r w:rsidRPr="00607824">
        <w:rPr>
          <w:lang w:val="es-UY"/>
        </w:rPr>
        <w:tab/>
        <w:t xml:space="preserve">   </w:t>
      </w:r>
      <w:r>
        <w:rPr>
          <w:position w:val="-32"/>
        </w:rPr>
        <w:object w:dxaOrig="3200" w:dyaOrig="740">
          <v:shape id="_x0000_i1028" type="#_x0000_t75" style="width:159.75pt;height:36.75pt" o:ole="" fillcolor="window">
            <v:imagedata r:id="rId11" o:title=""/>
          </v:shape>
          <o:OLEObject Type="Embed" ProgID="Equation.3" ShapeID="_x0000_i1028" DrawAspect="Content" ObjectID="_1519129597" r:id="rId12"/>
        </w:object>
      </w:r>
      <w:r w:rsidRPr="00607824">
        <w:rPr>
          <w:lang w:val="es-UY"/>
        </w:rPr>
        <w:tab/>
        <w:t xml:space="preserve">     </w:t>
      </w:r>
      <w:r w:rsidRPr="00607824">
        <w:rPr>
          <w:lang w:val="es-UY"/>
        </w:rPr>
        <w:tab/>
      </w:r>
      <w:r w:rsidRPr="00607824">
        <w:rPr>
          <w:lang w:val="es-UY"/>
        </w:rPr>
        <w:tab/>
        <w:t xml:space="preserve">         </w:t>
      </w:r>
      <w:r w:rsidRPr="00607824">
        <w:rPr>
          <w:rFonts w:ascii="Arial" w:hAnsi="Arial"/>
          <w:sz w:val="18"/>
          <w:lang w:val="es-UY"/>
        </w:rPr>
        <w:t>IV.1.1</w:t>
      </w:r>
    </w:p>
    <w:p w:rsidR="00607824" w:rsidRPr="00607824" w:rsidRDefault="00607824" w:rsidP="00607824">
      <w:pPr>
        <w:ind w:left="720"/>
        <w:rPr>
          <w:lang w:val="es-UY"/>
        </w:rPr>
      </w:pPr>
    </w:p>
    <w:p w:rsidR="00607824" w:rsidRPr="00607824" w:rsidRDefault="00607824" w:rsidP="00607824">
      <w:pPr>
        <w:ind w:left="360" w:firstLine="360"/>
        <w:jc w:val="both"/>
        <w:rPr>
          <w:lang w:val="es-UY"/>
        </w:rPr>
      </w:pPr>
      <w:r w:rsidRPr="00607824">
        <w:rPr>
          <w:lang w:val="es-UY"/>
        </w:rPr>
        <w:t xml:space="preserve">Por su propia construcción, la variable </w:t>
      </w:r>
      <w:r w:rsidRPr="00607824">
        <w:rPr>
          <w:i/>
          <w:lang w:val="es-UY"/>
        </w:rPr>
        <w:t>IH</w:t>
      </w:r>
      <w:r w:rsidRPr="00607824">
        <w:rPr>
          <w:lang w:val="es-UY"/>
        </w:rPr>
        <w:t xml:space="preserve"> muestra una importante contracción en el rango respecto de la precipitación,  compartiendo con las variables de las cuales es función, la propiedad de ser no-negativa .  Los valores del índice alrededor de la unidad, expresan un equilibrio entre los aportes de precipitación y la demanda atmosférica. Aquellos valores netamente por encima de 1 representan excesos de lluvia. Más aún, por encima de 2 o 3, están indicando que en ese mes en particular hubo una contribución muy importante a la hidrología superficial y freática, con posibles desbordes de espejos y cursos de agua de sus cauces "normales". Los valores netamente menores a 1 implican consumo importante del stock de agua en el suelo, así como deficiencias severas para el desarrollo vegetal, cuanto más cerca del punto de marchitez se llegue (efecto de sequía). Esto último no puede ser evaluado más que cualitativa e indirectamente con el </w:t>
      </w:r>
      <w:r w:rsidRPr="00607824">
        <w:rPr>
          <w:i/>
          <w:lang w:val="es-UY"/>
        </w:rPr>
        <w:t>IH</w:t>
      </w:r>
      <w:r w:rsidRPr="00607824">
        <w:rPr>
          <w:lang w:val="es-UY"/>
        </w:rPr>
        <w:t xml:space="preserve">, ya que es independiente de las reservas tanto potenciales como reales del suelo.  Sin embargo, una racha de varios meses con IH netamente inferior a 1 es sinónimo de período con deficiencias hídricas importantes, lo que representa un stress importante en cultivos y en pasturas naturales.  </w:t>
      </w:r>
    </w:p>
    <w:p w:rsidR="00607824" w:rsidRPr="00607824" w:rsidRDefault="00607824" w:rsidP="00607824">
      <w:pPr>
        <w:ind w:left="360" w:firstLine="360"/>
        <w:jc w:val="both"/>
        <w:rPr>
          <w:lang w:val="es-UY"/>
        </w:rPr>
      </w:pPr>
    </w:p>
    <w:p w:rsidR="00607824" w:rsidRPr="00607824" w:rsidRDefault="00607824" w:rsidP="00607824">
      <w:pPr>
        <w:ind w:left="360" w:firstLine="360"/>
        <w:jc w:val="both"/>
        <w:rPr>
          <w:lang w:val="es-UY"/>
        </w:rPr>
      </w:pPr>
      <w:r w:rsidRPr="00607824">
        <w:rPr>
          <w:lang w:val="es-UY"/>
        </w:rPr>
        <w:t>Es de notar que la misma expresión (</w:t>
      </w:r>
      <w:r w:rsidRPr="00607824">
        <w:rPr>
          <w:i/>
          <w:lang w:val="es-UY"/>
        </w:rPr>
        <w:t>índice hídrico</w:t>
      </w:r>
      <w:r w:rsidRPr="00607824">
        <w:rPr>
          <w:lang w:val="es-UY"/>
        </w:rPr>
        <w:t xml:space="preserve">) fue utilizada por Papadakis (1951 y 1952, en Papadakis 1960) para definir otro parámetro semejante, pero en su caso </w:t>
      </w:r>
      <w:r w:rsidRPr="00607824">
        <w:rPr>
          <w:lang w:val="es-UY"/>
        </w:rPr>
        <w:lastRenderedPageBreak/>
        <w:t xml:space="preserve">el denominador es una función lineal del déficit medio de saturación del aire y no la ETP. También Vargas (1982) utiliza la expresión con un sentido más restrictivo que la que empleamos aquí. </w:t>
      </w:r>
    </w:p>
    <w:p w:rsidR="00607824" w:rsidRPr="00607824" w:rsidRDefault="00607824" w:rsidP="00607824">
      <w:pPr>
        <w:ind w:left="360" w:firstLine="360"/>
        <w:jc w:val="both"/>
        <w:rPr>
          <w:b/>
          <w:lang w:val="es-UY"/>
        </w:rPr>
      </w:pPr>
      <w:r w:rsidRPr="00607824">
        <w:rPr>
          <w:lang w:val="es-UY"/>
        </w:rPr>
        <w:t xml:space="preserve">La presente propuesta pretende utilizar la variable </w:t>
      </w:r>
      <w:r w:rsidRPr="00607824">
        <w:rPr>
          <w:i/>
          <w:lang w:val="es-UY"/>
        </w:rPr>
        <w:t>IH</w:t>
      </w:r>
      <w:r w:rsidRPr="00607824">
        <w:rPr>
          <w:lang w:val="es-UY"/>
        </w:rPr>
        <w:t xml:space="preserve"> tal como es presentada en la </w:t>
      </w:r>
      <w:r w:rsidRPr="00607824">
        <w:rPr>
          <w:rFonts w:ascii="Arial" w:hAnsi="Arial"/>
          <w:lang w:val="es-UY"/>
        </w:rPr>
        <w:t>ec. IV.1.1</w:t>
      </w:r>
      <w:r w:rsidRPr="00607824">
        <w:rPr>
          <w:lang w:val="es-UY"/>
        </w:rPr>
        <w:t xml:space="preserve">, para los 29 puntos de muestreo y los 12 meses del año de los 53 años de la muestra de precipitación analizada en el Capítulo II. Por lo aseverado en el párrafo anterior, y a diferencia de la precipitación, un análisis de la variación de largo período del </w:t>
      </w:r>
      <w:r w:rsidRPr="00607824">
        <w:rPr>
          <w:i/>
          <w:lang w:val="es-UY"/>
        </w:rPr>
        <w:t>IH</w:t>
      </w:r>
      <w:r w:rsidRPr="00607824">
        <w:rPr>
          <w:lang w:val="es-UY"/>
        </w:rPr>
        <w:t xml:space="preserve"> puede dar pautas sobre la variación de la disponibilidad de agua que el proceso atmosférico lluvia-demanda atmosférica le imprime a cada sitio, con independencia de las características edáficas y geomorfológicas de éste. En tal sentido, los resultados presentados pueden ser  de utilidad en futuros estudios sobre cambios en la caracterización agroclimática de cada sitio, en virtud de los cambios ocurridos en el régimen de precipitación.</w:t>
      </w:r>
    </w:p>
    <w:p w:rsidR="00607824" w:rsidRPr="00607824" w:rsidRDefault="00607824" w:rsidP="00607824">
      <w:pPr>
        <w:rPr>
          <w:b/>
          <w:lang w:val="es-UY"/>
        </w:rPr>
      </w:pPr>
    </w:p>
    <w:p w:rsidR="00607824" w:rsidRPr="00607824" w:rsidRDefault="00607824" w:rsidP="00607824">
      <w:pPr>
        <w:rPr>
          <w:b/>
          <w:sz w:val="25"/>
          <w:szCs w:val="25"/>
          <w:lang w:val="es-UY"/>
        </w:rPr>
      </w:pPr>
      <w:r w:rsidRPr="00607824">
        <w:rPr>
          <w:b/>
          <w:sz w:val="25"/>
          <w:szCs w:val="25"/>
          <w:lang w:val="es-UY"/>
        </w:rPr>
        <w:t>IV.2  Campos característicos</w:t>
      </w:r>
    </w:p>
    <w:p w:rsidR="00607824" w:rsidRPr="00607824" w:rsidRDefault="00607824" w:rsidP="00607824">
      <w:pPr>
        <w:rPr>
          <w:sz w:val="16"/>
          <w:lang w:val="es-UY"/>
        </w:rPr>
      </w:pPr>
    </w:p>
    <w:p w:rsidR="00607824" w:rsidRPr="00607824" w:rsidRDefault="00321ECC" w:rsidP="00607824">
      <w:pPr>
        <w:ind w:left="360" w:firstLine="360"/>
        <w:jc w:val="both"/>
        <w:rPr>
          <w:lang w:val="es-UY"/>
        </w:rPr>
      </w:pPr>
      <w:r>
        <w:rPr>
          <w:noProof/>
          <w:sz w:val="16"/>
        </w:rPr>
        <w:drawing>
          <wp:anchor distT="0" distB="0" distL="114300" distR="114300" simplePos="0" relativeHeight="251657216" behindDoc="0" locked="0" layoutInCell="1" allowOverlap="1">
            <wp:simplePos x="0" y="0"/>
            <wp:positionH relativeFrom="column">
              <wp:posOffset>2959100</wp:posOffset>
            </wp:positionH>
            <wp:positionV relativeFrom="paragraph">
              <wp:posOffset>1149350</wp:posOffset>
            </wp:positionV>
            <wp:extent cx="2743200" cy="2658110"/>
            <wp:effectExtent l="1905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43200" cy="2658110"/>
                    </a:xfrm>
                    <a:prstGeom prst="rect">
                      <a:avLst/>
                    </a:prstGeom>
                    <a:noFill/>
                    <a:ln w="9525">
                      <a:noFill/>
                      <a:miter lim="800000"/>
                      <a:headEnd/>
                      <a:tailEnd/>
                    </a:ln>
                  </pic:spPr>
                </pic:pic>
              </a:graphicData>
            </a:graphic>
          </wp:anchor>
        </w:drawing>
      </w:r>
      <w:r>
        <w:rPr>
          <w:noProof/>
          <w:sz w:val="16"/>
        </w:rPr>
        <w:drawing>
          <wp:anchor distT="0" distB="0" distL="114300" distR="114300" simplePos="0" relativeHeight="251658240" behindDoc="0" locked="0" layoutInCell="1" allowOverlap="1">
            <wp:simplePos x="0" y="0"/>
            <wp:positionH relativeFrom="column">
              <wp:posOffset>-12700</wp:posOffset>
            </wp:positionH>
            <wp:positionV relativeFrom="paragraph">
              <wp:posOffset>1178560</wp:posOffset>
            </wp:positionV>
            <wp:extent cx="2943860" cy="2689860"/>
            <wp:effectExtent l="19050" t="0" r="889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43860" cy="2689860"/>
                    </a:xfrm>
                    <a:prstGeom prst="rect">
                      <a:avLst/>
                    </a:prstGeom>
                    <a:noFill/>
                    <a:ln w="9525">
                      <a:noFill/>
                      <a:miter lim="800000"/>
                      <a:headEnd/>
                      <a:tailEnd/>
                    </a:ln>
                  </pic:spPr>
                </pic:pic>
              </a:graphicData>
            </a:graphic>
          </wp:anchor>
        </w:drawing>
      </w:r>
      <w:r w:rsidR="00607824" w:rsidRPr="00607824">
        <w:rPr>
          <w:lang w:val="es-UY"/>
        </w:rPr>
        <w:t xml:space="preserve">Utilizando los valores medianos de la precipitación, la cartografía mensual del correspondiente </w:t>
      </w:r>
      <w:r w:rsidR="00607824" w:rsidRPr="00607824">
        <w:rPr>
          <w:i/>
          <w:lang w:val="es-UY"/>
        </w:rPr>
        <w:t>IH</w:t>
      </w:r>
      <w:r w:rsidR="00607824" w:rsidRPr="00607824">
        <w:rPr>
          <w:lang w:val="es-UY"/>
        </w:rPr>
        <w:t xml:space="preserve"> caracteriza los rasgos generales que el ciclo anual le imprime al territorio en cuanto a disponibilidad hídrica. A tal efecto, cada mapa de </w:t>
      </w:r>
      <w:r w:rsidR="00607824" w:rsidRPr="00607824">
        <w:rPr>
          <w:i/>
          <w:lang w:val="es-UY"/>
        </w:rPr>
        <w:t>IH</w:t>
      </w:r>
      <w:r w:rsidR="00607824" w:rsidRPr="00607824">
        <w:rPr>
          <w:lang w:val="es-UY"/>
        </w:rPr>
        <w:t xml:space="preserve"> mediano mensual es comparado a continuación con el correspondiente de precipitación, comenzando por el primer mes del verano (diciembre). El recorrido de ambas variables corresponde al total del período considerado (1948-2000). </w:t>
      </w:r>
    </w:p>
    <w:p w:rsidR="00607824" w:rsidRPr="00607824" w:rsidRDefault="00607824" w:rsidP="00607824">
      <w:pPr>
        <w:rPr>
          <w:sz w:val="16"/>
          <w:lang w:val="es-UY"/>
        </w:rPr>
      </w:pPr>
    </w:p>
    <w:p w:rsidR="00607824" w:rsidRPr="00607824" w:rsidRDefault="00607824" w:rsidP="00607824">
      <w:pPr>
        <w:rPr>
          <w:sz w:val="16"/>
          <w:lang w:val="es-UY"/>
        </w:rPr>
        <w:sectPr w:rsidR="00607824" w:rsidRPr="00607824" w:rsidSect="00607824">
          <w:headerReference w:type="default" r:id="rId15"/>
          <w:footerReference w:type="even" r:id="rId16"/>
          <w:footerReference w:type="default" r:id="rId17"/>
          <w:pgSz w:w="11906" w:h="16838" w:code="9"/>
          <w:pgMar w:top="1361" w:right="1361" w:bottom="1588" w:left="1588" w:header="720" w:footer="720" w:gutter="0"/>
          <w:pgNumType w:start="57"/>
          <w:cols w:space="720"/>
        </w:sectPr>
      </w:pPr>
    </w:p>
    <w:p w:rsidR="00607824" w:rsidRPr="00607824" w:rsidRDefault="00607824" w:rsidP="00607824">
      <w:pPr>
        <w:jc w:val="both"/>
        <w:rPr>
          <w:lang w:val="es-UY"/>
        </w:rPr>
      </w:pPr>
      <w:r w:rsidRPr="00607824">
        <w:rPr>
          <w:lang w:val="es-UY"/>
        </w:rPr>
        <w:lastRenderedPageBreak/>
        <w:tab/>
        <w:t xml:space="preserve">Pese al gradiente de precipitación relativamente importante entre ~100mm al NW, y ~50mm al SE, en Diciembre (Figuras IV.1b), se aprecia que el </w:t>
      </w:r>
      <w:r w:rsidRPr="00607824">
        <w:rPr>
          <w:i/>
          <w:lang w:val="es-UY"/>
        </w:rPr>
        <w:t>IH</w:t>
      </w:r>
      <w:r w:rsidRPr="00607824">
        <w:rPr>
          <w:lang w:val="es-UY"/>
        </w:rPr>
        <w:t xml:space="preserve"> es deficitario casi por igual en todo el territorio (Fig. IV.2.1a), siendo éste el mes que muestra valores medianos más bajos de </w:t>
      </w:r>
      <w:r w:rsidRPr="00607824">
        <w:rPr>
          <w:i/>
          <w:lang w:val="es-UY"/>
        </w:rPr>
        <w:t>IH</w:t>
      </w:r>
      <w:r w:rsidRPr="00607824">
        <w:rPr>
          <w:lang w:val="es-UY"/>
        </w:rPr>
        <w:t>, tanto porque ETP es máxima como por los valores relativamente bajos de precipitación. Los valores de precipitación son menores -</w:t>
      </w:r>
      <w:r w:rsidRPr="00607824">
        <w:rPr>
          <w:sz w:val="22"/>
          <w:lang w:val="es-UY"/>
        </w:rPr>
        <w:t xml:space="preserve"> o a lo sumo se acercan </w:t>
      </w:r>
      <w:r w:rsidRPr="00607824">
        <w:rPr>
          <w:lang w:val="es-UY"/>
        </w:rPr>
        <w:t>- al 50% de la ETP.  Es el mes de mayor consumo del potencial edáfico retenido en suelos.</w:t>
      </w:r>
    </w:p>
    <w:p w:rsidR="00607824" w:rsidRPr="00607824" w:rsidRDefault="00607824" w:rsidP="00607824">
      <w:pPr>
        <w:ind w:left="360"/>
        <w:rPr>
          <w:lang w:val="es-UY"/>
        </w:rPr>
        <w:sectPr w:rsidR="00607824" w:rsidRPr="00607824">
          <w:footerReference w:type="even" r:id="rId18"/>
          <w:footerReference w:type="default" r:id="rId19"/>
          <w:type w:val="continuous"/>
          <w:pgSz w:w="11906" w:h="16838"/>
          <w:pgMar w:top="1361" w:right="1247" w:bottom="1588" w:left="1588" w:header="680" w:footer="680" w:gutter="0"/>
          <w:cols w:space="720"/>
        </w:sectPr>
      </w:pPr>
    </w:p>
    <w:p w:rsidR="00607824" w:rsidRPr="00FE33C8" w:rsidRDefault="00607824" w:rsidP="00607824">
      <w:pPr>
        <w:jc w:val="both"/>
        <w:rPr>
          <w:sz w:val="12"/>
          <w:szCs w:val="12"/>
          <w:lang w:val="es-UY"/>
        </w:rPr>
      </w:pPr>
    </w:p>
    <w:tbl>
      <w:tblPr>
        <w:tblW w:w="9353" w:type="dxa"/>
        <w:tblLayout w:type="fixed"/>
        <w:tblCellMar>
          <w:left w:w="70" w:type="dxa"/>
          <w:right w:w="70" w:type="dxa"/>
        </w:tblCellMar>
        <w:tblLook w:val="0000"/>
      </w:tblPr>
      <w:tblGrid>
        <w:gridCol w:w="4748"/>
        <w:gridCol w:w="4605"/>
      </w:tblGrid>
      <w:tr w:rsidR="00607824">
        <w:tblPrEx>
          <w:tblCellMar>
            <w:top w:w="0" w:type="dxa"/>
            <w:bottom w:w="0" w:type="dxa"/>
          </w:tblCellMar>
        </w:tblPrEx>
        <w:tc>
          <w:tcPr>
            <w:tcW w:w="4748" w:type="dxa"/>
          </w:tcPr>
          <w:p w:rsidR="00607824" w:rsidRDefault="00321ECC" w:rsidP="00607824">
            <w:pPr>
              <w:ind w:left="-142"/>
              <w:rPr>
                <w:sz w:val="16"/>
              </w:rPr>
            </w:pPr>
            <w:r>
              <w:rPr>
                <w:noProof/>
              </w:rPr>
              <w:lastRenderedPageBreak/>
              <w:drawing>
                <wp:inline distT="0" distB="0" distL="0" distR="0">
                  <wp:extent cx="2923540" cy="252158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2923540" cy="2521585"/>
                          </a:xfrm>
                          <a:prstGeom prst="rect">
                            <a:avLst/>
                          </a:prstGeom>
                          <a:noFill/>
                          <a:ln w="9525">
                            <a:noFill/>
                            <a:miter lim="800000"/>
                            <a:headEnd/>
                            <a:tailEnd/>
                          </a:ln>
                        </pic:spPr>
                      </pic:pic>
                    </a:graphicData>
                  </a:graphic>
                </wp:inline>
              </w:drawing>
            </w:r>
          </w:p>
        </w:tc>
        <w:tc>
          <w:tcPr>
            <w:tcW w:w="4605" w:type="dxa"/>
          </w:tcPr>
          <w:p w:rsidR="00607824" w:rsidRDefault="00321ECC" w:rsidP="00607824">
            <w:pPr>
              <w:ind w:left="-70"/>
              <w:jc w:val="both"/>
              <w:rPr>
                <w:sz w:val="16"/>
              </w:rPr>
            </w:pPr>
            <w:r>
              <w:rPr>
                <w:noProof/>
              </w:rPr>
              <w:drawing>
                <wp:inline distT="0" distB="0" distL="0" distR="0">
                  <wp:extent cx="2867660" cy="2521585"/>
                  <wp:effectExtent l="1905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867660" cy="2521585"/>
                          </a:xfrm>
                          <a:prstGeom prst="rect">
                            <a:avLst/>
                          </a:prstGeom>
                          <a:noFill/>
                          <a:ln w="9525">
                            <a:noFill/>
                            <a:miter lim="800000"/>
                            <a:headEnd/>
                            <a:tailEnd/>
                          </a:ln>
                        </pic:spPr>
                      </pic:pic>
                    </a:graphicData>
                  </a:graphic>
                </wp:inline>
              </w:drawing>
            </w:r>
          </w:p>
        </w:tc>
      </w:tr>
    </w:tbl>
    <w:p w:rsidR="00607824" w:rsidRDefault="00607824" w:rsidP="00607824">
      <w:pPr>
        <w:jc w:val="both"/>
        <w:rPr>
          <w:sz w:val="16"/>
        </w:rPr>
      </w:pPr>
    </w:p>
    <w:p w:rsidR="00607824" w:rsidRPr="00607824" w:rsidRDefault="00607824" w:rsidP="00607824">
      <w:pPr>
        <w:ind w:firstLine="360"/>
        <w:jc w:val="both"/>
        <w:rPr>
          <w:lang w:val="es-UY"/>
        </w:rPr>
      </w:pPr>
      <w:r w:rsidRPr="00607824">
        <w:rPr>
          <w:lang w:val="es-UY"/>
        </w:rPr>
        <w:t xml:space="preserve">Enero, es el mes deficitario por excelencia respecto del régimen hídrico, pues además de que el </w:t>
      </w:r>
      <w:r w:rsidRPr="00607824">
        <w:rPr>
          <w:i/>
          <w:lang w:val="es-UY"/>
        </w:rPr>
        <w:t>IH</w:t>
      </w:r>
      <w:r w:rsidRPr="00607824">
        <w:rPr>
          <w:lang w:val="es-UY"/>
        </w:rPr>
        <w:t xml:space="preserve"> sigue siendo de valores muy bajos, debido a que la ETP sigue siendo muy alta, le sigue al mes de mínimos valores de </w:t>
      </w:r>
      <w:r w:rsidRPr="00607824">
        <w:rPr>
          <w:i/>
          <w:lang w:val="es-UY"/>
        </w:rPr>
        <w:t>IH</w:t>
      </w:r>
      <w:r w:rsidRPr="00607824">
        <w:rPr>
          <w:lang w:val="es-UY"/>
        </w:rPr>
        <w:t xml:space="preserve">. </w:t>
      </w:r>
      <w:r w:rsidRPr="00607824">
        <w:rPr>
          <w:sz w:val="23"/>
          <w:lang w:val="es-UY"/>
        </w:rPr>
        <w:t>(2 meses contando Noviembre, también deficitario en sus valores medianos)</w:t>
      </w:r>
      <w:r w:rsidRPr="00607824">
        <w:rPr>
          <w:lang w:val="es-UY"/>
        </w:rPr>
        <w:t xml:space="preserve">. La distribución del </w:t>
      </w:r>
      <w:r w:rsidRPr="00607824">
        <w:rPr>
          <w:i/>
          <w:lang w:val="es-UY"/>
        </w:rPr>
        <w:t>IH</w:t>
      </w:r>
      <w:r w:rsidRPr="00607824">
        <w:rPr>
          <w:lang w:val="es-UY"/>
        </w:rPr>
        <w:t xml:space="preserve"> (Figura IV.2.1), pese a que la ETP es máxima, de alguna manera refleja los máximos relativos de lluvia que aparecen en la región del SW y en el SE, que muestra la Figura IV.2.1b.</w:t>
      </w:r>
    </w:p>
    <w:p w:rsidR="00607824" w:rsidRPr="00607824" w:rsidRDefault="00607824" w:rsidP="00607824">
      <w:pPr>
        <w:ind w:left="360"/>
        <w:rPr>
          <w:b/>
          <w:lang w:val="es-UY"/>
        </w:rPr>
        <w:sectPr w:rsidR="00607824" w:rsidRPr="00607824">
          <w:type w:val="continuous"/>
          <w:pgSz w:w="11906" w:h="16838"/>
          <w:pgMar w:top="1361" w:right="1247" w:bottom="1588" w:left="1588" w:header="680" w:footer="680" w:gutter="0"/>
          <w:cols w:space="720" w:equalWidth="0">
            <w:col w:w="9071" w:space="708"/>
          </w:cols>
        </w:sectPr>
      </w:pPr>
    </w:p>
    <w:p w:rsidR="00607824" w:rsidRPr="00607824" w:rsidRDefault="00607824" w:rsidP="00607824">
      <w:pPr>
        <w:jc w:val="both"/>
        <w:rPr>
          <w:lang w:val="es-UY"/>
        </w:rPr>
      </w:pPr>
      <w:r w:rsidRPr="00607824">
        <w:rPr>
          <w:lang w:val="es-UY"/>
        </w:rPr>
        <w:lastRenderedPageBreak/>
        <w:t xml:space="preserve"> </w:t>
      </w:r>
    </w:p>
    <w:tbl>
      <w:tblPr>
        <w:tblW w:w="0" w:type="auto"/>
        <w:tblCellMar>
          <w:left w:w="70" w:type="dxa"/>
          <w:right w:w="70" w:type="dxa"/>
        </w:tblCellMar>
        <w:tblLook w:val="0000"/>
      </w:tblPr>
      <w:tblGrid>
        <w:gridCol w:w="4605"/>
        <w:gridCol w:w="4606"/>
      </w:tblGrid>
      <w:tr w:rsidR="00607824">
        <w:tblPrEx>
          <w:tblCellMar>
            <w:top w:w="0" w:type="dxa"/>
            <w:bottom w:w="0" w:type="dxa"/>
          </w:tblCellMar>
        </w:tblPrEx>
        <w:tc>
          <w:tcPr>
            <w:tcW w:w="4605" w:type="dxa"/>
          </w:tcPr>
          <w:p w:rsidR="00607824" w:rsidRDefault="00321ECC" w:rsidP="00607824">
            <w:pPr>
              <w:jc w:val="both"/>
            </w:pPr>
            <w:r>
              <w:rPr>
                <w:noProof/>
              </w:rPr>
              <w:drawing>
                <wp:inline distT="0" distB="0" distL="0" distR="0">
                  <wp:extent cx="2854325" cy="2576830"/>
                  <wp:effectExtent l="1905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854325" cy="2576830"/>
                          </a:xfrm>
                          <a:prstGeom prst="rect">
                            <a:avLst/>
                          </a:prstGeom>
                          <a:noFill/>
                          <a:ln w="9525">
                            <a:noFill/>
                            <a:miter lim="800000"/>
                            <a:headEnd/>
                            <a:tailEnd/>
                          </a:ln>
                        </pic:spPr>
                      </pic:pic>
                    </a:graphicData>
                  </a:graphic>
                </wp:inline>
              </w:drawing>
            </w:r>
          </w:p>
        </w:tc>
        <w:tc>
          <w:tcPr>
            <w:tcW w:w="4606" w:type="dxa"/>
          </w:tcPr>
          <w:p w:rsidR="00607824" w:rsidRDefault="00321ECC" w:rsidP="00607824">
            <w:pPr>
              <w:jc w:val="both"/>
            </w:pPr>
            <w:r>
              <w:rPr>
                <w:noProof/>
              </w:rPr>
              <w:drawing>
                <wp:inline distT="0" distB="0" distL="0" distR="0">
                  <wp:extent cx="2854325" cy="2687955"/>
                  <wp:effectExtent l="1905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2854325" cy="2687955"/>
                          </a:xfrm>
                          <a:prstGeom prst="rect">
                            <a:avLst/>
                          </a:prstGeom>
                          <a:noFill/>
                          <a:ln w="9525">
                            <a:noFill/>
                            <a:miter lim="800000"/>
                            <a:headEnd/>
                            <a:tailEnd/>
                          </a:ln>
                        </pic:spPr>
                      </pic:pic>
                    </a:graphicData>
                  </a:graphic>
                </wp:inline>
              </w:drawing>
            </w:r>
          </w:p>
        </w:tc>
      </w:tr>
    </w:tbl>
    <w:p w:rsidR="00607824" w:rsidRPr="00FE33C8" w:rsidRDefault="00607824" w:rsidP="00607824">
      <w:pPr>
        <w:ind w:firstLine="284"/>
        <w:jc w:val="both"/>
        <w:rPr>
          <w:sz w:val="12"/>
          <w:szCs w:val="12"/>
        </w:rPr>
      </w:pPr>
    </w:p>
    <w:p w:rsidR="00607824" w:rsidRPr="00607824" w:rsidRDefault="00607824" w:rsidP="00607824">
      <w:pPr>
        <w:ind w:firstLine="284"/>
        <w:jc w:val="both"/>
        <w:rPr>
          <w:lang w:val="es-UY"/>
        </w:rPr>
      </w:pPr>
      <w:r w:rsidRPr="00607824">
        <w:rPr>
          <w:lang w:val="es-UY"/>
        </w:rPr>
        <w:t xml:space="preserve">En febrero continúa la situación deficitaria, pero es menor que en los meses anteriores. En 11 de los 29 puntos el Indice está entre 0,5 y 0,8.  La mayor demanda atmosférica en el Norte está ligeramente compensada con las mayores precipitaciones en esa región, mientras que en el resto del territorio, es posible distinguir la traza del campo de  precipitación en los valores del </w:t>
      </w:r>
      <w:r w:rsidRPr="00607824">
        <w:rPr>
          <w:i/>
          <w:lang w:val="es-UY"/>
        </w:rPr>
        <w:t>IH</w:t>
      </w:r>
      <w:r w:rsidRPr="00607824">
        <w:rPr>
          <w:lang w:val="es-UY"/>
        </w:rPr>
        <w:t xml:space="preserve">. </w:t>
      </w:r>
    </w:p>
    <w:p w:rsidR="00607824" w:rsidRPr="00FE33C8" w:rsidRDefault="00607824" w:rsidP="00607824">
      <w:pPr>
        <w:rPr>
          <w:b/>
          <w:sz w:val="12"/>
          <w:szCs w:val="12"/>
          <w:lang w:val="es-UY"/>
        </w:rPr>
      </w:pPr>
    </w:p>
    <w:p w:rsidR="00607824" w:rsidRPr="00607824" w:rsidRDefault="00607824" w:rsidP="00607824">
      <w:pPr>
        <w:ind w:left="360"/>
        <w:rPr>
          <w:b/>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Default="00607824" w:rsidP="00607824">
      <w:pPr>
        <w:ind w:left="360"/>
        <w:rPr>
          <w:b/>
          <w:sz w:val="8"/>
        </w:rPr>
      </w:pPr>
      <w:r>
        <w:object w:dxaOrig="5924" w:dyaOrig="5234">
          <v:shape id="_x0000_i1029" type="#_x0000_t75" style="width:208.5pt;height:192.75pt" o:ole="">
            <v:imagedata r:id="rId24" o:title=""/>
          </v:shape>
          <o:OLEObject Type="Embed" ProgID="PBrush" ShapeID="_x0000_i1029" DrawAspect="Content" ObjectID="_1519129598" r:id="rId25"/>
        </w:object>
      </w:r>
    </w:p>
    <w:p w:rsidR="00607824" w:rsidRDefault="00321ECC" w:rsidP="00607824">
      <w:pPr>
        <w:ind w:left="-142" w:right="-114"/>
        <w:rPr>
          <w:b/>
        </w:rPr>
      </w:pPr>
      <w:r>
        <w:rPr>
          <w:noProof/>
        </w:rPr>
        <w:lastRenderedPageBreak/>
        <w:drawing>
          <wp:inline distT="0" distB="0" distL="0" distR="0">
            <wp:extent cx="2909570" cy="2618740"/>
            <wp:effectExtent l="19050" t="0" r="5080" b="0"/>
            <wp:docPr id="10" name="Imagen 10" descr="RR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R03_2"/>
                    <pic:cNvPicPr>
                      <a:picLocks noChangeAspect="1" noChangeArrowheads="1"/>
                    </pic:cNvPicPr>
                  </pic:nvPicPr>
                  <pic:blipFill>
                    <a:blip r:embed="rId26"/>
                    <a:srcRect/>
                    <a:stretch>
                      <a:fillRect/>
                    </a:stretch>
                  </pic:blipFill>
                  <pic:spPr bwMode="auto">
                    <a:xfrm>
                      <a:off x="0" y="0"/>
                      <a:ext cx="2909570" cy="2618740"/>
                    </a:xfrm>
                    <a:prstGeom prst="rect">
                      <a:avLst/>
                    </a:prstGeom>
                    <a:noFill/>
                    <a:ln w="9525">
                      <a:noFill/>
                      <a:miter lim="800000"/>
                      <a:headEnd/>
                      <a:tailEnd/>
                    </a:ln>
                  </pic:spPr>
                </pic:pic>
              </a:graphicData>
            </a:graphic>
          </wp:inline>
        </w:drawing>
      </w:r>
    </w:p>
    <w:p w:rsidR="00607824" w:rsidRDefault="00607824" w:rsidP="00607824">
      <w:pPr>
        <w:ind w:left="360"/>
        <w:rPr>
          <w:b/>
        </w:rPr>
        <w:sectPr w:rsidR="00607824">
          <w:type w:val="continuous"/>
          <w:pgSz w:w="11906" w:h="16838"/>
          <w:pgMar w:top="1361" w:right="1247" w:bottom="1588" w:left="1588" w:header="680" w:footer="680" w:gutter="0"/>
          <w:cols w:num="2" w:space="720" w:equalWidth="0">
            <w:col w:w="4366" w:space="283"/>
            <w:col w:w="4422"/>
          </w:cols>
        </w:sectPr>
      </w:pPr>
    </w:p>
    <w:p w:rsidR="00607824" w:rsidRPr="00607824" w:rsidRDefault="00607824" w:rsidP="00607824">
      <w:pPr>
        <w:ind w:left="360"/>
        <w:jc w:val="both"/>
        <w:rPr>
          <w:lang w:val="es-UY"/>
        </w:rPr>
      </w:pPr>
      <w:r w:rsidRPr="00607824">
        <w:rPr>
          <w:b/>
          <w:lang w:val="es-UY"/>
        </w:rPr>
        <w:lastRenderedPageBreak/>
        <w:t xml:space="preserve"> </w:t>
      </w:r>
      <w:r w:rsidRPr="00607824">
        <w:rPr>
          <w:b/>
          <w:lang w:val="es-UY"/>
        </w:rPr>
        <w:tab/>
      </w:r>
      <w:r w:rsidRPr="00607824">
        <w:rPr>
          <w:lang w:val="es-UY"/>
        </w:rPr>
        <w:t xml:space="preserve">En marzo, los valores de </w:t>
      </w:r>
      <w:r w:rsidRPr="00607824">
        <w:rPr>
          <w:i/>
          <w:iCs/>
          <w:lang w:val="es-UY"/>
        </w:rPr>
        <w:t>IH</w:t>
      </w:r>
      <w:r w:rsidRPr="00607824">
        <w:rPr>
          <w:lang w:val="es-UY"/>
        </w:rPr>
        <w:t xml:space="preserve"> se acercan a la unidad, salvo en unos pocos puntos situados en el Centro y Centro-Este del territorio en donde se mantienen cercanos a 0,5. (ver Figura IV.4a). Es notorio un aumento de las precipitaciones medianas de alrededor de 20 mm en todo el territorio, con respecto a Febrero (Figuras IV.3b y IV.4b)  </w:t>
      </w:r>
    </w:p>
    <w:p w:rsidR="00607824" w:rsidRPr="00607824" w:rsidRDefault="00607824" w:rsidP="00607824">
      <w:pPr>
        <w:ind w:left="360"/>
        <w:rPr>
          <w:bCs/>
          <w:sz w:val="8"/>
          <w:lang w:val="es-UY"/>
        </w:rPr>
      </w:pPr>
    </w:p>
    <w:p w:rsidR="00607824" w:rsidRPr="00607824" w:rsidRDefault="00607824" w:rsidP="00607824">
      <w:pPr>
        <w:rPr>
          <w:b/>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Pr="00FE33C8" w:rsidRDefault="00321ECC" w:rsidP="00607824">
      <w:pPr>
        <w:pStyle w:val="Textonotapie"/>
        <w:ind w:right="28"/>
        <w:rPr>
          <w:rFonts w:ascii="Times New Roman" w:hAnsi="Times New Roman"/>
          <w:sz w:val="12"/>
          <w:szCs w:val="12"/>
          <w:lang w:val="es-ES"/>
        </w:rPr>
      </w:pPr>
      <w:r>
        <w:rPr>
          <w:noProof/>
          <w:sz w:val="12"/>
          <w:szCs w:val="12"/>
          <w:lang w:val="en-US" w:eastAsia="en-US"/>
        </w:rPr>
        <w:lastRenderedPageBreak/>
        <w:drawing>
          <wp:inline distT="0" distB="0" distL="0" distR="0">
            <wp:extent cx="2798445" cy="2466340"/>
            <wp:effectExtent l="19050" t="0" r="1905" b="0"/>
            <wp:docPr id="11" name="Imagen 11" descr="Ihab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habr2B"/>
                    <pic:cNvPicPr>
                      <a:picLocks noChangeAspect="1" noChangeArrowheads="1"/>
                    </pic:cNvPicPr>
                  </pic:nvPicPr>
                  <pic:blipFill>
                    <a:blip r:embed="rId27"/>
                    <a:srcRect/>
                    <a:stretch>
                      <a:fillRect/>
                    </a:stretch>
                  </pic:blipFill>
                  <pic:spPr bwMode="auto">
                    <a:xfrm>
                      <a:off x="0" y="0"/>
                      <a:ext cx="2798445" cy="2466340"/>
                    </a:xfrm>
                    <a:prstGeom prst="rect">
                      <a:avLst/>
                    </a:prstGeom>
                    <a:noFill/>
                    <a:ln w="9525">
                      <a:noFill/>
                      <a:miter lim="800000"/>
                      <a:headEnd/>
                      <a:tailEnd/>
                    </a:ln>
                  </pic:spPr>
                </pic:pic>
              </a:graphicData>
            </a:graphic>
          </wp:inline>
        </w:drawing>
      </w:r>
    </w:p>
    <w:p w:rsidR="00607824" w:rsidRPr="00FE33C8" w:rsidRDefault="00321ECC" w:rsidP="00607824">
      <w:pPr>
        <w:rPr>
          <w:sz w:val="12"/>
          <w:szCs w:val="12"/>
        </w:rPr>
        <w:sectPr w:rsidR="00607824" w:rsidRPr="00FE33C8">
          <w:type w:val="continuous"/>
          <w:pgSz w:w="11906" w:h="16838"/>
          <w:pgMar w:top="1361" w:right="1247" w:bottom="1588" w:left="1588" w:header="680" w:footer="680" w:gutter="0"/>
          <w:cols w:num="2" w:space="720" w:equalWidth="0">
            <w:col w:w="4565" w:space="84"/>
            <w:col w:w="4422"/>
          </w:cols>
        </w:sectPr>
      </w:pPr>
      <w:r>
        <w:rPr>
          <w:noProof/>
          <w:sz w:val="12"/>
          <w:szCs w:val="12"/>
        </w:rPr>
        <w:lastRenderedPageBreak/>
        <w:drawing>
          <wp:inline distT="0" distB="0" distL="0" distR="0">
            <wp:extent cx="2854325" cy="2507615"/>
            <wp:effectExtent l="19050" t="0" r="3175" b="0"/>
            <wp:docPr id="12" name="Imagen 12" descr="IH_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H_04_2"/>
                    <pic:cNvPicPr>
                      <a:picLocks noChangeAspect="1" noChangeArrowheads="1"/>
                    </pic:cNvPicPr>
                  </pic:nvPicPr>
                  <pic:blipFill>
                    <a:blip r:embed="rId28"/>
                    <a:srcRect/>
                    <a:stretch>
                      <a:fillRect/>
                    </a:stretch>
                  </pic:blipFill>
                  <pic:spPr bwMode="auto">
                    <a:xfrm>
                      <a:off x="0" y="0"/>
                      <a:ext cx="2854325" cy="2507615"/>
                    </a:xfrm>
                    <a:prstGeom prst="rect">
                      <a:avLst/>
                    </a:prstGeom>
                    <a:noFill/>
                    <a:ln w="9525">
                      <a:noFill/>
                      <a:miter lim="800000"/>
                      <a:headEnd/>
                      <a:tailEnd/>
                    </a:ln>
                  </pic:spPr>
                </pic:pic>
              </a:graphicData>
            </a:graphic>
          </wp:inline>
        </w:drawing>
      </w:r>
    </w:p>
    <w:p w:rsidR="00607824" w:rsidRPr="00607824" w:rsidRDefault="00607824" w:rsidP="00FE33C8">
      <w:pPr>
        <w:jc w:val="both"/>
        <w:rPr>
          <w:lang w:val="es-UY"/>
        </w:rPr>
      </w:pPr>
      <w:r w:rsidRPr="00607824">
        <w:rPr>
          <w:lang w:val="es-UY"/>
        </w:rPr>
        <w:lastRenderedPageBreak/>
        <w:t xml:space="preserve">  En Abril, la distribución espacial del </w:t>
      </w:r>
      <w:r w:rsidRPr="00607824">
        <w:rPr>
          <w:i/>
          <w:iCs/>
          <w:lang w:val="es-UY"/>
        </w:rPr>
        <w:t>IH</w:t>
      </w:r>
      <w:r w:rsidRPr="00607824">
        <w:rPr>
          <w:lang w:val="es-UY"/>
        </w:rPr>
        <w:t xml:space="preserve"> mediano muestra valores cercanos a la unidad en todo el territorio, con excesos en el extremo norte (Bella Unión), pero también presenta una región moderadamente deficitaria en el Suroeste, salvo el litoral costero de Colonia y Nueva Palmira, y el extremo oriental (Melo, Cebollatí, Chuy). Cabe señalar que en el caso de Bella Unión,  el máximo está dado por el valor extremo que toma la mediana del campo de precipitación (168mm).</w:t>
      </w:r>
    </w:p>
    <w:p w:rsidR="00607824" w:rsidRPr="00FE33C8" w:rsidRDefault="00607824" w:rsidP="00FE33C8">
      <w:pPr>
        <w:rPr>
          <w:sz w:val="12"/>
          <w:szCs w:val="12"/>
          <w:lang w:val="es-UY"/>
        </w:rPr>
      </w:pPr>
    </w:p>
    <w:p w:rsidR="00607824" w:rsidRPr="00607824" w:rsidRDefault="00607824" w:rsidP="00FE33C8">
      <w:pPr>
        <w:rPr>
          <w:sz w:val="16"/>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Pr="00FE33C8" w:rsidRDefault="00607824" w:rsidP="00FE33C8">
      <w:pPr>
        <w:ind w:right="-171"/>
        <w:rPr>
          <w:sz w:val="12"/>
          <w:szCs w:val="12"/>
        </w:rPr>
      </w:pPr>
      <w:r>
        <w:object w:dxaOrig="7949" w:dyaOrig="7096">
          <v:shape id="_x0000_i1030" type="#_x0000_t75" style="width:230.25pt;height:206.25pt" o:ole="">
            <v:imagedata r:id="rId29" o:title=""/>
          </v:shape>
          <o:OLEObject Type="Embed" ProgID="PBrush" ShapeID="_x0000_i1030" DrawAspect="Content" ObjectID="_1519129599" r:id="rId30"/>
        </w:object>
      </w:r>
    </w:p>
    <w:p w:rsidR="00607824" w:rsidRDefault="00607824" w:rsidP="00607824">
      <w:pPr>
        <w:ind w:left="-142"/>
        <w:rPr>
          <w:sz w:val="16"/>
        </w:rPr>
      </w:pPr>
      <w:r>
        <w:object w:dxaOrig="6359" w:dyaOrig="5774">
          <v:shape id="_x0000_i1031" type="#_x0000_t75" style="width:230.25pt;height:209.25pt" o:ole="">
            <v:imagedata r:id="rId31" o:title=""/>
          </v:shape>
          <o:OLEObject Type="Embed" ProgID="PBrush" ShapeID="_x0000_i1031" DrawAspect="Content" ObjectID="_1519129600" r:id="rId32"/>
        </w:object>
      </w:r>
    </w:p>
    <w:p w:rsidR="00607824" w:rsidRDefault="00607824" w:rsidP="00607824">
      <w:pPr>
        <w:rPr>
          <w:sz w:val="16"/>
        </w:rPr>
        <w:sectPr w:rsidR="00607824">
          <w:type w:val="continuous"/>
          <w:pgSz w:w="11906" w:h="16838"/>
          <w:pgMar w:top="1361" w:right="1133" w:bottom="1588" w:left="1588" w:header="680" w:footer="680" w:gutter="0"/>
          <w:cols w:num="2" w:space="720" w:equalWidth="0">
            <w:col w:w="4366" w:space="283"/>
            <w:col w:w="4536"/>
          </w:cols>
        </w:sectPr>
      </w:pPr>
    </w:p>
    <w:p w:rsidR="00607824" w:rsidRDefault="00607824" w:rsidP="00281360">
      <w:pPr>
        <w:pStyle w:val="BodyTextIndent2"/>
        <w:ind w:firstLine="0"/>
        <w:rPr>
          <w:lang w:val="es-ES"/>
        </w:rPr>
      </w:pPr>
      <w:r>
        <w:rPr>
          <w:lang w:val="es-ES"/>
        </w:rPr>
        <w:lastRenderedPageBreak/>
        <w:t xml:space="preserve">En Mayo, el campo mediano de IH sólo mantiene valores ligeramente deficitarios en el SW, lo que refleja el mínimo de precipitación en ese mes para esa región. Los excesos se sitúan en el Norte y en el Centro-Este del territorio (Paso de los Toros, Melo, Treinta y Tres). Es de mención el mínimo de precipitación en el SW y en la costa atlántica (precipitaciones por debajo de 80 mm). </w:t>
      </w:r>
      <w:r>
        <w:rPr>
          <w:lang w:val="es-ES"/>
        </w:rPr>
        <w:tab/>
        <w:t xml:space="preserve">  </w:t>
      </w:r>
    </w:p>
    <w:p w:rsidR="00607824" w:rsidRPr="00607824" w:rsidRDefault="00607824" w:rsidP="00607824">
      <w:pPr>
        <w:ind w:left="360"/>
        <w:jc w:val="both"/>
        <w:rPr>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Pr="00607824" w:rsidRDefault="00607824" w:rsidP="00607824">
      <w:pPr>
        <w:ind w:left="360"/>
        <w:rPr>
          <w:sz w:val="16"/>
          <w:lang w:val="es-UY"/>
        </w:rPr>
      </w:pPr>
    </w:p>
    <w:p w:rsidR="00607824" w:rsidRPr="00607824" w:rsidRDefault="00607824" w:rsidP="00607824">
      <w:pPr>
        <w:rPr>
          <w:sz w:val="16"/>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Default="00321ECC" w:rsidP="00607824">
      <w:pPr>
        <w:ind w:right="-171"/>
        <w:rPr>
          <w:b/>
        </w:rPr>
      </w:pPr>
      <w:r>
        <w:rPr>
          <w:b/>
          <w:noProof/>
        </w:rPr>
        <w:lastRenderedPageBreak/>
        <w:drawing>
          <wp:inline distT="0" distB="0" distL="0" distR="0">
            <wp:extent cx="2812415" cy="2535555"/>
            <wp:effectExtent l="19050" t="0" r="6985" b="0"/>
            <wp:docPr id="15" name="Imagen 15" descr="ihJU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hJUNb"/>
                    <pic:cNvPicPr>
                      <a:picLocks noChangeAspect="1" noChangeArrowheads="1"/>
                    </pic:cNvPicPr>
                  </pic:nvPicPr>
                  <pic:blipFill>
                    <a:blip r:embed="rId33"/>
                    <a:srcRect/>
                    <a:stretch>
                      <a:fillRect/>
                    </a:stretch>
                  </pic:blipFill>
                  <pic:spPr bwMode="auto">
                    <a:xfrm>
                      <a:off x="0" y="0"/>
                      <a:ext cx="2812415" cy="2535555"/>
                    </a:xfrm>
                    <a:prstGeom prst="rect">
                      <a:avLst/>
                    </a:prstGeom>
                    <a:noFill/>
                    <a:ln w="9525">
                      <a:noFill/>
                      <a:miter lim="800000"/>
                      <a:headEnd/>
                      <a:tailEnd/>
                    </a:ln>
                  </pic:spPr>
                </pic:pic>
              </a:graphicData>
            </a:graphic>
          </wp:inline>
        </w:drawing>
      </w:r>
    </w:p>
    <w:p w:rsidR="00607824" w:rsidRDefault="00607824" w:rsidP="00607824">
      <w:pPr>
        <w:ind w:left="-142"/>
        <w:rPr>
          <w:b/>
        </w:rPr>
      </w:pPr>
      <w:r>
        <w:object w:dxaOrig="6376" w:dyaOrig="5834">
          <v:shape id="_x0000_i1032" type="#_x0000_t75" style="width:222.75pt;height:203.25pt" o:ole="">
            <v:imagedata r:id="rId34" o:title=""/>
          </v:shape>
          <o:OLEObject Type="Embed" ProgID="PBrush" ShapeID="_x0000_i1032" DrawAspect="Content" ObjectID="_1519129601" r:id="rId35"/>
        </w:object>
      </w:r>
    </w:p>
    <w:p w:rsidR="00607824" w:rsidRDefault="00607824" w:rsidP="00607824">
      <w:pPr>
        <w:rPr>
          <w:b/>
        </w:rPr>
        <w:sectPr w:rsidR="00607824">
          <w:type w:val="continuous"/>
          <w:pgSz w:w="11906" w:h="16838"/>
          <w:pgMar w:top="1361" w:right="1247" w:bottom="1588" w:left="1588" w:header="680" w:footer="680" w:gutter="0"/>
          <w:cols w:num="2" w:space="720" w:equalWidth="0">
            <w:col w:w="4366" w:space="283"/>
            <w:col w:w="4422"/>
          </w:cols>
        </w:sectPr>
      </w:pPr>
    </w:p>
    <w:p w:rsidR="00607824" w:rsidRPr="00FE33C8" w:rsidRDefault="00607824" w:rsidP="00607824">
      <w:pPr>
        <w:ind w:firstLine="720"/>
        <w:jc w:val="both"/>
        <w:rPr>
          <w:sz w:val="12"/>
          <w:szCs w:val="12"/>
        </w:rPr>
      </w:pPr>
    </w:p>
    <w:p w:rsidR="00607824" w:rsidRDefault="00607824" w:rsidP="00607824">
      <w:pPr>
        <w:rPr>
          <w:sz w:val="16"/>
          <w:lang w:val="es-ES"/>
        </w:rPr>
      </w:pPr>
      <w:r>
        <w:rPr>
          <w:lang w:val="es-ES"/>
        </w:rPr>
        <w:t>El campo mediano del IH en Junio, mantiene la misma forma que el de mayo, pero con notables excesos (IH&gt;3) en la región Centro-Este y en Rivera.  Esto es un reflejo del campo de precipitación, el cual presenta un máximo en el NE y un mínimo en el litoral Sur del Río Uruguay.</w:t>
      </w:r>
    </w:p>
    <w:p w:rsidR="00607824" w:rsidRPr="00607824" w:rsidRDefault="00607824" w:rsidP="00607824">
      <w:pPr>
        <w:ind w:firstLine="720"/>
        <w:jc w:val="both"/>
        <w:rPr>
          <w:sz w:val="16"/>
          <w:lang w:val="es-UY"/>
        </w:rPr>
      </w:pPr>
    </w:p>
    <w:p w:rsidR="00607824" w:rsidRPr="00607824" w:rsidRDefault="00607824" w:rsidP="00607824">
      <w:pPr>
        <w:jc w:val="both"/>
        <w:rPr>
          <w:lang w:val="es-UY"/>
        </w:rPr>
      </w:pPr>
    </w:p>
    <w:p w:rsidR="00607824" w:rsidRPr="00607824" w:rsidRDefault="00607824" w:rsidP="00607824">
      <w:pPr>
        <w:jc w:val="both"/>
        <w:rPr>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Pr="00607824" w:rsidRDefault="00607824" w:rsidP="00607824">
      <w:pPr>
        <w:ind w:right="-163"/>
        <w:rPr>
          <w:b/>
          <w:lang w:val="es-UY"/>
        </w:rPr>
      </w:pPr>
    </w:p>
    <w:p w:rsidR="00607824" w:rsidRDefault="00321ECC" w:rsidP="00607824">
      <w:pPr>
        <w:ind w:right="-28"/>
        <w:rPr>
          <w:b/>
        </w:rPr>
      </w:pPr>
      <w:r>
        <w:rPr>
          <w:noProof/>
        </w:rPr>
        <w:lastRenderedPageBreak/>
        <w:drawing>
          <wp:inline distT="0" distB="0" distL="0" distR="0">
            <wp:extent cx="2798445" cy="2479675"/>
            <wp:effectExtent l="19050" t="0" r="1905" b="0"/>
            <wp:docPr id="17" name="Imagen 17" descr="ju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io"/>
                    <pic:cNvPicPr>
                      <a:picLocks noChangeAspect="1" noChangeArrowheads="1"/>
                    </pic:cNvPicPr>
                  </pic:nvPicPr>
                  <pic:blipFill>
                    <a:blip r:embed="rId36"/>
                    <a:srcRect/>
                    <a:stretch>
                      <a:fillRect/>
                    </a:stretch>
                  </pic:blipFill>
                  <pic:spPr bwMode="auto">
                    <a:xfrm>
                      <a:off x="0" y="0"/>
                      <a:ext cx="2798445" cy="2479675"/>
                    </a:xfrm>
                    <a:prstGeom prst="rect">
                      <a:avLst/>
                    </a:prstGeom>
                    <a:noFill/>
                    <a:ln w="9525">
                      <a:noFill/>
                      <a:miter lim="800000"/>
                      <a:headEnd/>
                      <a:tailEnd/>
                    </a:ln>
                  </pic:spPr>
                </pic:pic>
              </a:graphicData>
            </a:graphic>
          </wp:inline>
        </w:drawing>
      </w:r>
      <w:r w:rsidR="00607824">
        <w:object w:dxaOrig="6359" w:dyaOrig="5639">
          <v:shape id="_x0000_i1033" type="#_x0000_t75" style="width:217.5pt;height:192.75pt" o:ole="">
            <v:imagedata r:id="rId37" o:title=""/>
          </v:shape>
          <o:OLEObject Type="Embed" ProgID="PBrush" ShapeID="_x0000_i1033" DrawAspect="Content" ObjectID="_1519129602" r:id="rId38"/>
        </w:object>
      </w:r>
    </w:p>
    <w:p w:rsidR="00607824" w:rsidRDefault="00607824" w:rsidP="00607824">
      <w:pPr>
        <w:rPr>
          <w:b/>
        </w:rPr>
        <w:sectPr w:rsidR="00607824">
          <w:type w:val="continuous"/>
          <w:pgSz w:w="11906" w:h="16838"/>
          <w:pgMar w:top="1361" w:right="1247" w:bottom="1588" w:left="1588" w:header="680" w:footer="680" w:gutter="0"/>
          <w:cols w:num="2" w:space="720" w:equalWidth="0">
            <w:col w:w="4508" w:space="141"/>
            <w:col w:w="4422"/>
          </w:cols>
        </w:sectPr>
      </w:pPr>
    </w:p>
    <w:p w:rsidR="00607824" w:rsidRDefault="00607824" w:rsidP="00607824">
      <w:pPr>
        <w:ind w:firstLine="720"/>
        <w:jc w:val="both"/>
        <w:rPr>
          <w:sz w:val="8"/>
        </w:rPr>
      </w:pPr>
    </w:p>
    <w:p w:rsidR="00607824" w:rsidRDefault="00607824" w:rsidP="00607824">
      <w:pPr>
        <w:pStyle w:val="a"/>
        <w:ind w:firstLine="425"/>
        <w:jc w:val="both"/>
        <w:rPr>
          <w:sz w:val="24"/>
        </w:rPr>
      </w:pPr>
      <w:r>
        <w:rPr>
          <w:sz w:val="24"/>
        </w:rPr>
        <w:t>En Julio con un campo de IH similar al del mes anterior, sólo que los excesos medianos mayores (IH&gt;3), son ligeramente más restringidos en extensión, mientras que es de notar una extensión hacia el Sureste de la región con máxima precipitación. Esta zona es la que tiene ligeros máximos invernales, lo cual fuera mencionado ya en épocas relativamente tempranas (Prohaska en Schwerdtfeger, 1976). Nótese el mínimo de lluvia a lo largo del litoral del Río Uruguay, así como la distribución prácticamente norte-sur de las isoyetas. Esta característica que comenzó a delinearse en mayo y junio, continuará en agosto y comenzará a desdibujarse a partir de setiembre, para desaparecer en octubre.</w:t>
      </w:r>
    </w:p>
    <w:p w:rsidR="00607824" w:rsidRPr="006C3577" w:rsidRDefault="00607824" w:rsidP="00607824">
      <w:pPr>
        <w:ind w:left="360"/>
        <w:rPr>
          <w:b/>
          <w:sz w:val="12"/>
          <w:szCs w:val="12"/>
          <w:lang w:val="es-UY"/>
        </w:rPr>
      </w:pPr>
    </w:p>
    <w:p w:rsidR="00607824" w:rsidRPr="00FE33C8" w:rsidRDefault="00607824" w:rsidP="00607824">
      <w:pPr>
        <w:ind w:left="360"/>
        <w:rPr>
          <w:sz w:val="12"/>
          <w:szCs w:val="12"/>
          <w:lang w:val="es-UY"/>
        </w:rPr>
        <w:sectPr w:rsidR="00607824" w:rsidRPr="00FE33C8">
          <w:type w:val="continuous"/>
          <w:pgSz w:w="11906" w:h="16838"/>
          <w:pgMar w:top="1361" w:right="1247" w:bottom="1588" w:left="1588" w:header="680" w:footer="680" w:gutter="0"/>
          <w:cols w:space="720" w:equalWidth="0">
            <w:col w:w="9071" w:space="709"/>
          </w:cols>
        </w:sectPr>
      </w:pPr>
    </w:p>
    <w:p w:rsidR="00607824" w:rsidRDefault="00321ECC" w:rsidP="00607824">
      <w:pPr>
        <w:ind w:right="-178"/>
        <w:rPr>
          <w:b/>
        </w:rPr>
      </w:pPr>
      <w:r>
        <w:rPr>
          <w:b/>
          <w:noProof/>
        </w:rPr>
        <w:lastRenderedPageBreak/>
        <w:drawing>
          <wp:inline distT="0" distB="0" distL="0" distR="0">
            <wp:extent cx="2798445" cy="2576830"/>
            <wp:effectExtent l="19050" t="0" r="1905" b="0"/>
            <wp:docPr id="19" name="Imagen 19" descr="agosto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gostoih"/>
                    <pic:cNvPicPr>
                      <a:picLocks noChangeAspect="1" noChangeArrowheads="1"/>
                    </pic:cNvPicPr>
                  </pic:nvPicPr>
                  <pic:blipFill>
                    <a:blip r:embed="rId39"/>
                    <a:srcRect/>
                    <a:stretch>
                      <a:fillRect/>
                    </a:stretch>
                  </pic:blipFill>
                  <pic:spPr bwMode="auto">
                    <a:xfrm>
                      <a:off x="0" y="0"/>
                      <a:ext cx="2798445" cy="2576830"/>
                    </a:xfrm>
                    <a:prstGeom prst="rect">
                      <a:avLst/>
                    </a:prstGeom>
                    <a:noFill/>
                    <a:ln w="9525">
                      <a:noFill/>
                      <a:miter lim="800000"/>
                      <a:headEnd/>
                      <a:tailEnd/>
                    </a:ln>
                  </pic:spPr>
                </pic:pic>
              </a:graphicData>
            </a:graphic>
          </wp:inline>
        </w:drawing>
      </w:r>
    </w:p>
    <w:p w:rsidR="00607824" w:rsidRDefault="00607824" w:rsidP="00607824">
      <w:pPr>
        <w:ind w:left="-142" w:right="-115"/>
        <w:sectPr w:rsidR="00607824">
          <w:type w:val="continuous"/>
          <w:pgSz w:w="11906" w:h="16838"/>
          <w:pgMar w:top="1361" w:right="1247" w:bottom="1588" w:left="1588" w:header="680" w:footer="680" w:gutter="0"/>
          <w:cols w:num="2" w:space="720" w:equalWidth="0">
            <w:col w:w="4508" w:space="283"/>
            <w:col w:w="4280"/>
          </w:cols>
        </w:sectPr>
      </w:pPr>
      <w:r>
        <w:object w:dxaOrig="6466" w:dyaOrig="5774">
          <v:shape id="_x0000_i1034" type="#_x0000_t75" style="width:221.25pt;height:197.25pt" o:ole="">
            <v:imagedata r:id="rId40" o:title=""/>
          </v:shape>
          <o:OLEObject Type="Embed" ProgID="PBrush" ShapeID="_x0000_i1034" DrawAspect="Content" ObjectID="_1519129603" r:id="rId41"/>
        </w:object>
      </w:r>
    </w:p>
    <w:p w:rsidR="00607824" w:rsidRPr="00FE33C8" w:rsidRDefault="00607824" w:rsidP="00607824">
      <w:pPr>
        <w:rPr>
          <w:sz w:val="12"/>
          <w:szCs w:val="12"/>
          <w:lang w:val="es-ES"/>
        </w:rPr>
      </w:pPr>
    </w:p>
    <w:p w:rsidR="00607824" w:rsidRPr="00607824" w:rsidRDefault="00607824" w:rsidP="00607824">
      <w:pPr>
        <w:ind w:firstLine="720"/>
        <w:jc w:val="both"/>
        <w:rPr>
          <w:b/>
          <w:lang w:val="es-UY"/>
        </w:rPr>
      </w:pPr>
      <w:r w:rsidRPr="00607824">
        <w:rPr>
          <w:lang w:val="es-UY"/>
        </w:rPr>
        <w:t xml:space="preserve">Agosto muestra una disminución general de los valores del IH, por el doble motivo de, por un lado un ligero aumento de la ETP, y por otro una pequeña disminución en los valores de lluvia. Nótese que el máximo espacial de precipitación continúa en el Sureste, mientras que  el mínimo invernal sigue marcando al litoral del río Uruguay. </w:t>
      </w:r>
    </w:p>
    <w:p w:rsidR="00607824" w:rsidRPr="00FE33C8" w:rsidRDefault="00607824" w:rsidP="00607824">
      <w:pPr>
        <w:rPr>
          <w:b/>
          <w:sz w:val="12"/>
          <w:szCs w:val="12"/>
          <w:lang w:val="es-UY"/>
        </w:rPr>
        <w:sectPr w:rsidR="00607824" w:rsidRPr="00FE33C8">
          <w:type w:val="continuous"/>
          <w:pgSz w:w="11906" w:h="16838"/>
          <w:pgMar w:top="1361" w:right="1247" w:bottom="1588" w:left="1588" w:header="680" w:footer="680" w:gutter="0"/>
          <w:cols w:space="720" w:equalWidth="0">
            <w:col w:w="9071" w:space="709"/>
          </w:cols>
        </w:sectPr>
      </w:pPr>
    </w:p>
    <w:p w:rsidR="00607824" w:rsidRPr="006C3577" w:rsidRDefault="00607824" w:rsidP="00607824">
      <w:pPr>
        <w:ind w:right="-30"/>
        <w:rPr>
          <w:b/>
          <w:sz w:val="12"/>
          <w:szCs w:val="12"/>
          <w:lang w:val="es-UY"/>
        </w:rPr>
      </w:pPr>
    </w:p>
    <w:p w:rsidR="00607824" w:rsidRDefault="00321ECC" w:rsidP="00607824">
      <w:pPr>
        <w:ind w:right="-115"/>
        <w:rPr>
          <w:b/>
        </w:rPr>
        <w:sectPr w:rsidR="00607824">
          <w:type w:val="continuous"/>
          <w:pgSz w:w="11906" w:h="16838"/>
          <w:pgMar w:top="1361" w:right="1247" w:bottom="1588" w:left="1588" w:header="680" w:footer="680" w:gutter="0"/>
          <w:cols w:num="2" w:space="720" w:equalWidth="0">
            <w:col w:w="4366" w:space="142"/>
            <w:col w:w="4563"/>
          </w:cols>
        </w:sectPr>
      </w:pPr>
      <w:r>
        <w:rPr>
          <w:noProof/>
        </w:rPr>
        <w:lastRenderedPageBreak/>
        <w:drawing>
          <wp:inline distT="0" distB="0" distL="0" distR="0">
            <wp:extent cx="2646045" cy="2452370"/>
            <wp:effectExtent l="19050" t="0" r="1905" b="0"/>
            <wp:docPr id="21" name="Imagen 21" desc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
                    <pic:cNvPicPr>
                      <a:picLocks noChangeAspect="1" noChangeArrowheads="1"/>
                    </pic:cNvPicPr>
                  </pic:nvPicPr>
                  <pic:blipFill>
                    <a:blip r:embed="rId42"/>
                    <a:srcRect/>
                    <a:stretch>
                      <a:fillRect/>
                    </a:stretch>
                  </pic:blipFill>
                  <pic:spPr bwMode="auto">
                    <a:xfrm>
                      <a:off x="0" y="0"/>
                      <a:ext cx="2646045" cy="2452370"/>
                    </a:xfrm>
                    <a:prstGeom prst="rect">
                      <a:avLst/>
                    </a:prstGeom>
                    <a:noFill/>
                    <a:ln w="9525">
                      <a:noFill/>
                      <a:miter lim="800000"/>
                      <a:headEnd/>
                      <a:tailEnd/>
                    </a:ln>
                  </pic:spPr>
                </pic:pic>
              </a:graphicData>
            </a:graphic>
          </wp:inline>
        </w:drawing>
      </w:r>
      <w:r w:rsidR="00607824">
        <w:object w:dxaOrig="6479" w:dyaOrig="5686">
          <v:shape id="_x0000_i1035" type="#_x0000_t75" style="width:225pt;height:197.25pt" o:ole="">
            <v:imagedata r:id="rId43" o:title=""/>
          </v:shape>
          <o:OLEObject Type="Embed" ProgID="PBrush" ShapeID="_x0000_i1035" DrawAspect="Content" ObjectID="_1519129604" r:id="rId44"/>
        </w:object>
      </w:r>
    </w:p>
    <w:p w:rsidR="00607824" w:rsidRPr="00FE33C8" w:rsidRDefault="00607824" w:rsidP="00607824">
      <w:pPr>
        <w:ind w:firstLine="720"/>
        <w:jc w:val="both"/>
        <w:rPr>
          <w:sz w:val="12"/>
          <w:szCs w:val="12"/>
        </w:rPr>
      </w:pPr>
    </w:p>
    <w:p w:rsidR="00607824" w:rsidRPr="00607824" w:rsidRDefault="00607824" w:rsidP="00607824">
      <w:pPr>
        <w:ind w:firstLine="720"/>
        <w:jc w:val="both"/>
        <w:rPr>
          <w:lang w:val="es-UY"/>
        </w:rPr>
      </w:pPr>
      <w:r w:rsidRPr="00607824">
        <w:rPr>
          <w:lang w:val="es-UY"/>
        </w:rPr>
        <w:t>Setiembre marca un campo mediano de IH con valores cercanos a la unidad en la mayor parte del territorio. Algunos puntos de la región Sureste tienen ligeros excesos. Es de notar también que el máximo mediano de precipitación (Figura IV. 10b) ha migrado del SE al NE, mientras el mínimo continúa a lo largo del litoral uruguayo y platense.</w:t>
      </w:r>
    </w:p>
    <w:p w:rsidR="00607824" w:rsidRPr="00607824" w:rsidRDefault="00607824" w:rsidP="00607824">
      <w:pPr>
        <w:ind w:left="360"/>
        <w:rPr>
          <w:sz w:val="16"/>
          <w:lang w:val="es-UY"/>
        </w:rPr>
      </w:pPr>
    </w:p>
    <w:p w:rsidR="00607824" w:rsidRPr="00FE33C8" w:rsidRDefault="00607824" w:rsidP="00607824">
      <w:pPr>
        <w:ind w:left="360"/>
        <w:rPr>
          <w:sz w:val="12"/>
          <w:szCs w:val="12"/>
          <w:lang w:val="es-UY"/>
        </w:rPr>
        <w:sectPr w:rsidR="00607824" w:rsidRPr="00FE33C8">
          <w:type w:val="continuous"/>
          <w:pgSz w:w="11906" w:h="16838"/>
          <w:pgMar w:top="1361" w:right="1247" w:bottom="1588" w:left="1588" w:header="680" w:footer="680" w:gutter="0"/>
          <w:cols w:space="720" w:equalWidth="0">
            <w:col w:w="9071" w:space="709"/>
          </w:cols>
        </w:sectPr>
      </w:pPr>
    </w:p>
    <w:p w:rsidR="00607824" w:rsidRDefault="00321ECC" w:rsidP="00607824">
      <w:pPr>
        <w:rPr>
          <w:b/>
        </w:rPr>
      </w:pPr>
      <w:r>
        <w:rPr>
          <w:noProof/>
        </w:rPr>
        <w:lastRenderedPageBreak/>
        <w:drawing>
          <wp:inline distT="0" distB="0" distL="0" distR="0">
            <wp:extent cx="2812415" cy="2507615"/>
            <wp:effectExtent l="19050" t="0" r="6985" b="0"/>
            <wp:docPr id="23" name="Imagen 23" descr="Oc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ctIH"/>
                    <pic:cNvPicPr>
                      <a:picLocks noChangeAspect="1" noChangeArrowheads="1"/>
                    </pic:cNvPicPr>
                  </pic:nvPicPr>
                  <pic:blipFill>
                    <a:blip r:embed="rId45"/>
                    <a:srcRect/>
                    <a:stretch>
                      <a:fillRect/>
                    </a:stretch>
                  </pic:blipFill>
                  <pic:spPr bwMode="auto">
                    <a:xfrm>
                      <a:off x="0" y="0"/>
                      <a:ext cx="2812415" cy="2507615"/>
                    </a:xfrm>
                    <a:prstGeom prst="rect">
                      <a:avLst/>
                    </a:prstGeom>
                    <a:noFill/>
                    <a:ln w="9525">
                      <a:noFill/>
                      <a:miter lim="800000"/>
                      <a:headEnd/>
                      <a:tailEnd/>
                    </a:ln>
                  </pic:spPr>
                </pic:pic>
              </a:graphicData>
            </a:graphic>
          </wp:inline>
        </w:drawing>
      </w:r>
    </w:p>
    <w:p w:rsidR="00607824" w:rsidRDefault="00607824" w:rsidP="00607824">
      <w:pPr>
        <w:rPr>
          <w:b/>
        </w:rPr>
        <w:sectPr w:rsidR="00607824">
          <w:type w:val="continuous"/>
          <w:pgSz w:w="11906" w:h="16838"/>
          <w:pgMar w:top="1361" w:right="1247" w:bottom="1588" w:left="1588" w:header="680" w:footer="680" w:gutter="0"/>
          <w:cols w:num="2" w:space="720" w:equalWidth="0">
            <w:col w:w="4508" w:space="141"/>
            <w:col w:w="4422"/>
          </w:cols>
        </w:sectPr>
      </w:pPr>
      <w:r>
        <w:object w:dxaOrig="6436" w:dyaOrig="5746">
          <v:shape id="_x0000_i1036" type="#_x0000_t75" style="width:220.5pt;height:196.5pt" o:ole="">
            <v:imagedata r:id="rId46" o:title=""/>
          </v:shape>
          <o:OLEObject Type="Embed" ProgID="PBrush" ShapeID="_x0000_i1036" DrawAspect="Content" ObjectID="_1519129605" r:id="rId47"/>
        </w:object>
      </w:r>
    </w:p>
    <w:p w:rsidR="00607824" w:rsidRPr="00FE33C8" w:rsidRDefault="00607824" w:rsidP="00607824">
      <w:pPr>
        <w:ind w:firstLine="720"/>
        <w:jc w:val="both"/>
        <w:rPr>
          <w:sz w:val="12"/>
          <w:szCs w:val="12"/>
        </w:rPr>
      </w:pPr>
    </w:p>
    <w:p w:rsidR="00607824" w:rsidRPr="00607824" w:rsidRDefault="00607824" w:rsidP="00607824">
      <w:pPr>
        <w:ind w:firstLine="720"/>
        <w:jc w:val="both"/>
        <w:rPr>
          <w:lang w:val="es-UY"/>
        </w:rPr>
      </w:pPr>
      <w:r w:rsidRPr="00607824">
        <w:rPr>
          <w:lang w:val="es-UY"/>
        </w:rPr>
        <w:t xml:space="preserve">En el campo mediano de Octubre aparecen muy ligeras deficiencias en la franja central del territorio (IH&lt;0.8). El campo de precipitación, muestra un mínimo relativo en el SE y un máximo en el NE, habiendo desaparecido los mínimos litoraleños de meses anteriores. Es de notar que el campo de isoyetas ha dejado de ser meridional. </w:t>
      </w:r>
    </w:p>
    <w:p w:rsidR="00607824" w:rsidRPr="00607824" w:rsidRDefault="00607824" w:rsidP="00607824">
      <w:pPr>
        <w:rPr>
          <w:b/>
          <w:lang w:val="es-UY"/>
        </w:rPr>
      </w:pPr>
    </w:p>
    <w:p w:rsidR="00607824" w:rsidRPr="00607824" w:rsidRDefault="00607824" w:rsidP="00607824">
      <w:pPr>
        <w:rPr>
          <w:sz w:val="16"/>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Default="00321ECC" w:rsidP="00607824">
      <w:pPr>
        <w:rPr>
          <w:b/>
        </w:rPr>
      </w:pPr>
      <w:r>
        <w:rPr>
          <w:noProof/>
        </w:rPr>
        <w:lastRenderedPageBreak/>
        <w:drawing>
          <wp:inline distT="0" distB="0" distL="0" distR="0">
            <wp:extent cx="2798445" cy="2535555"/>
            <wp:effectExtent l="19050" t="0" r="1905" b="0"/>
            <wp:docPr id="25" name="Imagen 25" descr="NO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Vih"/>
                    <pic:cNvPicPr>
                      <a:picLocks noChangeAspect="1" noChangeArrowheads="1"/>
                    </pic:cNvPicPr>
                  </pic:nvPicPr>
                  <pic:blipFill>
                    <a:blip r:embed="rId48"/>
                    <a:srcRect/>
                    <a:stretch>
                      <a:fillRect/>
                    </a:stretch>
                  </pic:blipFill>
                  <pic:spPr bwMode="auto">
                    <a:xfrm>
                      <a:off x="0" y="0"/>
                      <a:ext cx="2798445" cy="2535555"/>
                    </a:xfrm>
                    <a:prstGeom prst="rect">
                      <a:avLst/>
                    </a:prstGeom>
                    <a:noFill/>
                    <a:ln w="9525">
                      <a:noFill/>
                      <a:miter lim="800000"/>
                      <a:headEnd/>
                      <a:tailEnd/>
                    </a:ln>
                  </pic:spPr>
                </pic:pic>
              </a:graphicData>
            </a:graphic>
          </wp:inline>
        </w:drawing>
      </w:r>
    </w:p>
    <w:p w:rsidR="00607824" w:rsidRDefault="00607824" w:rsidP="00607824">
      <w:pPr>
        <w:rPr>
          <w:b/>
        </w:rPr>
        <w:sectPr w:rsidR="00607824">
          <w:type w:val="continuous"/>
          <w:pgSz w:w="11906" w:h="16838"/>
          <w:pgMar w:top="1361" w:right="1247" w:bottom="1588" w:left="1588" w:header="680" w:footer="680" w:gutter="0"/>
          <w:cols w:num="2" w:space="720" w:equalWidth="0">
            <w:col w:w="4506" w:space="2"/>
            <w:col w:w="4563"/>
          </w:cols>
        </w:sectPr>
      </w:pPr>
      <w:r>
        <w:object w:dxaOrig="6479" w:dyaOrig="5804">
          <v:shape id="_x0000_i1037" type="#_x0000_t75" style="width:223.5pt;height:201pt" o:ole="">
            <v:imagedata r:id="rId49" o:title=""/>
          </v:shape>
          <o:OLEObject Type="Embed" ProgID="PBrush" ShapeID="_x0000_i1037" DrawAspect="Content" ObjectID="_1519129606" r:id="rId50"/>
        </w:object>
      </w:r>
    </w:p>
    <w:p w:rsidR="00607824" w:rsidRPr="00FE33C8" w:rsidRDefault="00607824" w:rsidP="00607824">
      <w:pPr>
        <w:ind w:firstLine="360"/>
        <w:jc w:val="both"/>
        <w:rPr>
          <w:sz w:val="12"/>
          <w:szCs w:val="12"/>
        </w:rPr>
      </w:pPr>
    </w:p>
    <w:p w:rsidR="00607824" w:rsidRPr="00607824" w:rsidRDefault="00607824" w:rsidP="00607824">
      <w:pPr>
        <w:ind w:firstLine="360"/>
        <w:jc w:val="both"/>
        <w:rPr>
          <w:lang w:val="es-UY"/>
        </w:rPr>
      </w:pPr>
      <w:r w:rsidRPr="00607824">
        <w:rPr>
          <w:lang w:val="es-UY"/>
        </w:rPr>
        <w:t xml:space="preserve">El IH mediano de Noviembre es deficitario en todo el territorio (Todos los puntos de la Figura IV.12ª tienen IH&lt;0,8). Los déficits mayores aparecen en el SE, acompañando parcialmente al mínimo de precipitación que ocurre en esa región. </w:t>
      </w:r>
    </w:p>
    <w:p w:rsidR="00607824" w:rsidRPr="00607824" w:rsidRDefault="00607824" w:rsidP="00607824">
      <w:pPr>
        <w:jc w:val="both"/>
        <w:rPr>
          <w:lang w:val="es-UY"/>
        </w:rPr>
      </w:pPr>
    </w:p>
    <w:p w:rsidR="00607824" w:rsidRPr="00607824" w:rsidRDefault="00607824" w:rsidP="00607824">
      <w:pPr>
        <w:jc w:val="both"/>
        <w:rPr>
          <w:lang w:val="es-UY"/>
        </w:rPr>
        <w:sectPr w:rsidR="00607824" w:rsidRPr="00607824">
          <w:type w:val="continuous"/>
          <w:pgSz w:w="11906" w:h="16838"/>
          <w:pgMar w:top="1361" w:right="1247" w:bottom="1588" w:left="1588" w:header="680" w:footer="680" w:gutter="0"/>
          <w:cols w:space="720" w:equalWidth="0">
            <w:col w:w="9071" w:space="709"/>
          </w:cols>
        </w:sectPr>
      </w:pPr>
    </w:p>
    <w:p w:rsidR="00607824" w:rsidRPr="00607824" w:rsidRDefault="00607824" w:rsidP="00607824">
      <w:pPr>
        <w:rPr>
          <w:b/>
          <w:lang w:val="es-UY"/>
        </w:rPr>
      </w:pPr>
      <w:r w:rsidRPr="00607824">
        <w:rPr>
          <w:b/>
          <w:lang w:val="es-UY"/>
        </w:rPr>
        <w:lastRenderedPageBreak/>
        <w:t>IV.3  Probabilidad de Deficiencias, Equilibrios y Excesos.</w:t>
      </w:r>
    </w:p>
    <w:p w:rsidR="00607824" w:rsidRPr="00FE33C8" w:rsidRDefault="00607824" w:rsidP="00607824">
      <w:pPr>
        <w:rPr>
          <w:sz w:val="12"/>
          <w:szCs w:val="12"/>
          <w:lang w:val="es-UY"/>
        </w:rPr>
      </w:pPr>
    </w:p>
    <w:p w:rsidR="00607824" w:rsidRPr="00607824" w:rsidRDefault="00607824" w:rsidP="00607824">
      <w:pPr>
        <w:ind w:firstLine="360"/>
        <w:jc w:val="both"/>
        <w:rPr>
          <w:lang w:val="es-UY"/>
        </w:rPr>
      </w:pPr>
      <w:r w:rsidRPr="00607824">
        <w:rPr>
          <w:lang w:val="es-UY"/>
        </w:rPr>
        <w:t xml:space="preserve">Se considera que los valores del </w:t>
      </w:r>
      <w:r w:rsidRPr="00607824">
        <w:rPr>
          <w:i/>
          <w:lang w:val="es-UY"/>
        </w:rPr>
        <w:t>IH</w:t>
      </w:r>
      <w:r w:rsidRPr="00607824">
        <w:rPr>
          <w:lang w:val="es-UY"/>
        </w:rPr>
        <w:t xml:space="preserve"> netamente inferiores a la unidad representan deficiencias graves, aquellos cercanos a uno, indican que las pérdidas por evapotranspiración están compensadas por las precipitaciones, y los netamente superiores a uno muestran excesos de humedad. Esto es especialmente idóneo para pasturas, aunque también puede ser válido de manera general para muchos cultivos. Con ligeras modificaciones de lo expuesto en Boshell y Chiara (1982), fueron tomados con fines operativos en los boletines agrometeorológicos los valores que se ofrecen en la Tabla IV-1, salvo la división de 80% en 80% en los casos de excesos, que se propone aquí. Esta división pretende hacer distinciones dentro de las diversas situaciones de excesos. A su vez éstas son propias de la estación invernal, pero llegan a ocurrir durante todo el año. Se utiliza una división porcentual objetiva, de la misma forma en que Thornthwaite (1948) utiliza la división objetiva de los índices auxiliares en su clasificación climática. </w:t>
      </w:r>
    </w:p>
    <w:p w:rsidR="00607824" w:rsidRPr="00607824" w:rsidRDefault="00607824" w:rsidP="00607824">
      <w:pPr>
        <w:ind w:firstLine="360"/>
        <w:rPr>
          <w:sz w:val="16"/>
          <w:lang w:val="es-UY"/>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260"/>
        <w:gridCol w:w="1836"/>
      </w:tblGrid>
      <w:tr w:rsidR="00607824" w:rsidRPr="00607824">
        <w:tblPrEx>
          <w:tblCellMar>
            <w:top w:w="0" w:type="dxa"/>
            <w:bottom w:w="0" w:type="dxa"/>
          </w:tblCellMar>
        </w:tblPrEx>
        <w:trPr>
          <w:cantSplit/>
        </w:trPr>
        <w:tc>
          <w:tcPr>
            <w:tcW w:w="6797" w:type="dxa"/>
            <w:gridSpan w:val="3"/>
          </w:tcPr>
          <w:p w:rsidR="00607824" w:rsidRPr="00607824" w:rsidRDefault="00607824" w:rsidP="00607824">
            <w:pPr>
              <w:spacing w:before="120" w:after="120"/>
              <w:jc w:val="right"/>
              <w:rPr>
                <w:rFonts w:ascii="Arial" w:hAnsi="Arial"/>
                <w:b/>
                <w:lang w:val="es-UY"/>
              </w:rPr>
            </w:pPr>
            <w:r w:rsidRPr="00607824">
              <w:rPr>
                <w:rFonts w:ascii="Arial" w:hAnsi="Arial"/>
                <w:b/>
                <w:sz w:val="22"/>
                <w:lang w:val="es-UY"/>
              </w:rPr>
              <w:t>Tabla IV-1</w:t>
            </w:r>
            <w:r w:rsidRPr="00607824">
              <w:rPr>
                <w:rFonts w:ascii="Arial" w:hAnsi="Arial"/>
                <w:b/>
                <w:lang w:val="es-UY"/>
              </w:rPr>
              <w:t xml:space="preserve">     </w:t>
            </w:r>
            <w:r w:rsidRPr="00607824">
              <w:rPr>
                <w:rFonts w:ascii="Arial" w:hAnsi="Arial"/>
                <w:b/>
                <w:sz w:val="22"/>
                <w:lang w:val="es-UY"/>
              </w:rPr>
              <w:t>Valores de referencia para el Indice Hídrico</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 xml:space="preserve">Valor </w:t>
            </w:r>
            <w:smartTag w:uri="urn:schemas-microsoft-com:office:smarttags" w:element="State">
              <w:smartTag w:uri="urn:schemas-microsoft-com:office:smarttags" w:element="place">
                <w:r>
                  <w:rPr>
                    <w:rFonts w:ascii="Arial" w:hAnsi="Arial"/>
                  </w:rPr>
                  <w:t>del</w:t>
                </w:r>
              </w:smartTag>
            </w:smartTag>
            <w:r>
              <w:rPr>
                <w:rFonts w:ascii="Arial" w:hAnsi="Arial"/>
              </w:rPr>
              <w:t xml:space="preserve"> IH mensual</w:t>
            </w:r>
          </w:p>
        </w:tc>
        <w:tc>
          <w:tcPr>
            <w:tcW w:w="3260" w:type="dxa"/>
          </w:tcPr>
          <w:p w:rsidR="00607824" w:rsidRDefault="00607824" w:rsidP="00607824">
            <w:pPr>
              <w:spacing w:before="120"/>
              <w:jc w:val="center"/>
              <w:rPr>
                <w:rFonts w:ascii="Arial" w:hAnsi="Arial"/>
              </w:rPr>
            </w:pPr>
            <w:r>
              <w:rPr>
                <w:rFonts w:ascii="Arial" w:hAnsi="Arial"/>
              </w:rPr>
              <w:t>característica</w:t>
            </w:r>
          </w:p>
        </w:tc>
        <w:tc>
          <w:tcPr>
            <w:tcW w:w="1836" w:type="dxa"/>
          </w:tcPr>
          <w:p w:rsidR="00607824" w:rsidRDefault="00607824" w:rsidP="00607824">
            <w:pPr>
              <w:jc w:val="center"/>
              <w:rPr>
                <w:rFonts w:ascii="Arial" w:hAnsi="Arial"/>
              </w:rPr>
            </w:pPr>
            <w:r>
              <w:rPr>
                <w:rFonts w:ascii="Arial" w:hAnsi="Arial"/>
              </w:rPr>
              <w:t>Categoría asignada</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de 0 a 0,4</w:t>
            </w:r>
          </w:p>
        </w:tc>
        <w:tc>
          <w:tcPr>
            <w:tcW w:w="3260" w:type="dxa"/>
          </w:tcPr>
          <w:p w:rsidR="00607824" w:rsidRDefault="00607824" w:rsidP="00607824">
            <w:pPr>
              <w:jc w:val="center"/>
              <w:rPr>
                <w:sz w:val="22"/>
              </w:rPr>
            </w:pPr>
            <w:r>
              <w:rPr>
                <w:sz w:val="22"/>
              </w:rPr>
              <w:t>deficiencias severas</w:t>
            </w:r>
          </w:p>
        </w:tc>
        <w:tc>
          <w:tcPr>
            <w:tcW w:w="1836" w:type="dxa"/>
          </w:tcPr>
          <w:p w:rsidR="00607824" w:rsidRDefault="00607824" w:rsidP="00607824">
            <w:pPr>
              <w:jc w:val="center"/>
            </w:pPr>
            <w:r>
              <w:t>0</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de 0,4 a 0,8</w:t>
            </w:r>
          </w:p>
        </w:tc>
        <w:tc>
          <w:tcPr>
            <w:tcW w:w="3260" w:type="dxa"/>
          </w:tcPr>
          <w:p w:rsidR="00607824" w:rsidRDefault="00607824" w:rsidP="00607824">
            <w:pPr>
              <w:jc w:val="center"/>
              <w:rPr>
                <w:sz w:val="22"/>
              </w:rPr>
            </w:pPr>
            <w:r>
              <w:rPr>
                <w:sz w:val="22"/>
              </w:rPr>
              <w:t>deficiencias moderadas</w:t>
            </w:r>
          </w:p>
        </w:tc>
        <w:tc>
          <w:tcPr>
            <w:tcW w:w="1836" w:type="dxa"/>
          </w:tcPr>
          <w:p w:rsidR="00607824" w:rsidRDefault="00607824" w:rsidP="00607824">
            <w:pPr>
              <w:jc w:val="center"/>
            </w:pPr>
            <w:r>
              <w:t>1</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entre 0,8  1,2</w:t>
            </w:r>
          </w:p>
        </w:tc>
        <w:tc>
          <w:tcPr>
            <w:tcW w:w="3260" w:type="dxa"/>
          </w:tcPr>
          <w:p w:rsidR="00607824" w:rsidRDefault="00607824" w:rsidP="00607824">
            <w:pPr>
              <w:jc w:val="center"/>
              <w:rPr>
                <w:sz w:val="22"/>
              </w:rPr>
            </w:pPr>
            <w:r>
              <w:rPr>
                <w:sz w:val="22"/>
              </w:rPr>
              <w:t>sin excesos ni deficiencias</w:t>
            </w:r>
          </w:p>
        </w:tc>
        <w:tc>
          <w:tcPr>
            <w:tcW w:w="1836" w:type="dxa"/>
          </w:tcPr>
          <w:p w:rsidR="00607824" w:rsidRDefault="00607824" w:rsidP="00607824">
            <w:pPr>
              <w:jc w:val="center"/>
            </w:pPr>
            <w:r>
              <w:t>2</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de 1,2 a 2,0</w:t>
            </w:r>
          </w:p>
        </w:tc>
        <w:tc>
          <w:tcPr>
            <w:tcW w:w="3260" w:type="dxa"/>
          </w:tcPr>
          <w:p w:rsidR="00607824" w:rsidRDefault="00607824" w:rsidP="00607824">
            <w:pPr>
              <w:jc w:val="center"/>
              <w:rPr>
                <w:sz w:val="22"/>
              </w:rPr>
            </w:pPr>
            <w:r>
              <w:rPr>
                <w:sz w:val="22"/>
              </w:rPr>
              <w:t>alta humedad</w:t>
            </w:r>
          </w:p>
        </w:tc>
        <w:tc>
          <w:tcPr>
            <w:tcW w:w="1836" w:type="dxa"/>
          </w:tcPr>
          <w:p w:rsidR="00607824" w:rsidRDefault="00607824" w:rsidP="00607824">
            <w:pPr>
              <w:jc w:val="center"/>
            </w:pPr>
            <w:r>
              <w:t>3</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de 2,0 a 2,8</w:t>
            </w:r>
          </w:p>
        </w:tc>
        <w:tc>
          <w:tcPr>
            <w:tcW w:w="3260" w:type="dxa"/>
          </w:tcPr>
          <w:p w:rsidR="00607824" w:rsidRDefault="00607824" w:rsidP="00607824">
            <w:pPr>
              <w:jc w:val="center"/>
              <w:rPr>
                <w:sz w:val="22"/>
              </w:rPr>
            </w:pPr>
            <w:r>
              <w:rPr>
                <w:sz w:val="22"/>
              </w:rPr>
              <w:t>humedad excesiva</w:t>
            </w:r>
          </w:p>
        </w:tc>
        <w:tc>
          <w:tcPr>
            <w:tcW w:w="1836" w:type="dxa"/>
          </w:tcPr>
          <w:p w:rsidR="00607824" w:rsidRDefault="00607824" w:rsidP="00607824">
            <w:pPr>
              <w:jc w:val="center"/>
            </w:pPr>
            <w:r>
              <w:t>4*</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de 2,8 a 3,6</w:t>
            </w:r>
          </w:p>
        </w:tc>
        <w:tc>
          <w:tcPr>
            <w:tcW w:w="3260" w:type="dxa"/>
          </w:tcPr>
          <w:p w:rsidR="00607824" w:rsidRDefault="00607824" w:rsidP="00607824">
            <w:pPr>
              <w:jc w:val="center"/>
              <w:rPr>
                <w:sz w:val="22"/>
              </w:rPr>
            </w:pPr>
            <w:r>
              <w:rPr>
                <w:sz w:val="22"/>
              </w:rPr>
              <w:t>excesos muy altos</w:t>
            </w:r>
          </w:p>
        </w:tc>
        <w:tc>
          <w:tcPr>
            <w:tcW w:w="1836" w:type="dxa"/>
          </w:tcPr>
          <w:p w:rsidR="00607824" w:rsidRDefault="00607824" w:rsidP="00607824">
            <w:pPr>
              <w:jc w:val="center"/>
            </w:pPr>
            <w:r>
              <w:t>5*</w:t>
            </w:r>
          </w:p>
        </w:tc>
      </w:tr>
      <w:tr w:rsidR="00607824">
        <w:tblPrEx>
          <w:tblCellMar>
            <w:top w:w="0" w:type="dxa"/>
            <w:bottom w:w="0" w:type="dxa"/>
          </w:tblCellMar>
        </w:tblPrEx>
        <w:trPr>
          <w:cantSplit/>
        </w:trPr>
        <w:tc>
          <w:tcPr>
            <w:tcW w:w="1701" w:type="dxa"/>
          </w:tcPr>
          <w:p w:rsidR="00607824" w:rsidRDefault="00607824" w:rsidP="00607824">
            <w:pPr>
              <w:jc w:val="center"/>
              <w:rPr>
                <w:rFonts w:ascii="Arial" w:hAnsi="Arial"/>
              </w:rPr>
            </w:pPr>
            <w:r>
              <w:rPr>
                <w:rFonts w:ascii="Arial" w:hAnsi="Arial"/>
              </w:rPr>
              <w:t>&gt; 3,6</w:t>
            </w:r>
          </w:p>
        </w:tc>
        <w:tc>
          <w:tcPr>
            <w:tcW w:w="3260" w:type="dxa"/>
          </w:tcPr>
          <w:p w:rsidR="00607824" w:rsidRDefault="00607824" w:rsidP="00607824">
            <w:pPr>
              <w:jc w:val="center"/>
              <w:rPr>
                <w:sz w:val="22"/>
              </w:rPr>
            </w:pPr>
            <w:r>
              <w:rPr>
                <w:sz w:val="22"/>
              </w:rPr>
              <w:t>excesos superlativos</w:t>
            </w:r>
          </w:p>
        </w:tc>
        <w:tc>
          <w:tcPr>
            <w:tcW w:w="1836" w:type="dxa"/>
          </w:tcPr>
          <w:p w:rsidR="00607824" w:rsidRDefault="00607824" w:rsidP="00607824">
            <w:pPr>
              <w:jc w:val="center"/>
            </w:pPr>
            <w:r>
              <w:t>6*</w:t>
            </w:r>
          </w:p>
        </w:tc>
      </w:tr>
      <w:tr w:rsidR="00607824" w:rsidRPr="00607824">
        <w:tblPrEx>
          <w:tblCellMar>
            <w:top w:w="0" w:type="dxa"/>
            <w:bottom w:w="0" w:type="dxa"/>
          </w:tblCellMar>
        </w:tblPrEx>
        <w:trPr>
          <w:cantSplit/>
        </w:trPr>
        <w:tc>
          <w:tcPr>
            <w:tcW w:w="6797" w:type="dxa"/>
            <w:gridSpan w:val="3"/>
          </w:tcPr>
          <w:p w:rsidR="00607824" w:rsidRPr="00FE33C8" w:rsidRDefault="00607824" w:rsidP="00607824">
            <w:pPr>
              <w:spacing w:before="40"/>
              <w:jc w:val="both"/>
              <w:rPr>
                <w:sz w:val="20"/>
                <w:szCs w:val="20"/>
                <w:lang w:val="es-UY"/>
              </w:rPr>
            </w:pPr>
            <w:r w:rsidRPr="00FE33C8">
              <w:rPr>
                <w:sz w:val="20"/>
                <w:szCs w:val="20"/>
                <w:lang w:val="es-UY"/>
              </w:rPr>
              <w:t>*</w:t>
            </w:r>
            <w:r w:rsidRPr="00FE33C8">
              <w:rPr>
                <w:rFonts w:ascii="Arial" w:hAnsi="Arial"/>
                <w:sz w:val="20"/>
                <w:szCs w:val="20"/>
                <w:lang w:val="es-UY"/>
              </w:rPr>
              <w:t xml:space="preserve"> estas divisiones dentro de las situaciones de excesos</w:t>
            </w:r>
            <w:r w:rsidR="00FE33C8" w:rsidRPr="00FE33C8">
              <w:rPr>
                <w:rFonts w:ascii="Arial" w:hAnsi="Arial"/>
                <w:sz w:val="20"/>
                <w:szCs w:val="20"/>
                <w:lang w:val="es-UY"/>
              </w:rPr>
              <w:t xml:space="preserve"> sonoriginales de</w:t>
            </w:r>
            <w:r w:rsidRPr="00FE33C8">
              <w:rPr>
                <w:rFonts w:ascii="Arial" w:hAnsi="Arial"/>
                <w:sz w:val="20"/>
                <w:szCs w:val="20"/>
                <w:lang w:val="es-UY"/>
              </w:rPr>
              <w:t>l pre</w:t>
            </w:r>
            <w:r w:rsidR="00FE33C8" w:rsidRPr="00FE33C8">
              <w:rPr>
                <w:rFonts w:ascii="Arial" w:hAnsi="Arial"/>
                <w:sz w:val="20"/>
                <w:szCs w:val="20"/>
                <w:lang w:val="es-UY"/>
              </w:rPr>
              <w:t>sente estudio</w:t>
            </w:r>
            <w:r w:rsidRPr="00FE33C8">
              <w:rPr>
                <w:rFonts w:ascii="Arial" w:hAnsi="Arial"/>
                <w:sz w:val="20"/>
                <w:szCs w:val="20"/>
                <w:lang w:val="es-UY"/>
              </w:rPr>
              <w:t>.</w:t>
            </w:r>
          </w:p>
        </w:tc>
      </w:tr>
    </w:tbl>
    <w:p w:rsidR="00607824" w:rsidRPr="00FE33C8" w:rsidRDefault="00607824" w:rsidP="00607824">
      <w:pPr>
        <w:ind w:firstLine="360"/>
        <w:jc w:val="both"/>
        <w:rPr>
          <w:sz w:val="16"/>
          <w:lang w:val="es-UY"/>
        </w:rPr>
      </w:pPr>
    </w:p>
    <w:p w:rsidR="00FE33C8" w:rsidRPr="00FE33C8" w:rsidRDefault="00FE33C8" w:rsidP="00FE33C8">
      <w:pPr>
        <w:pStyle w:val="Textoindependiente"/>
        <w:jc w:val="both"/>
        <w:rPr>
          <w:rFonts w:ascii="Times New Roman" w:hAnsi="Times New Roman"/>
          <w:sz w:val="16"/>
          <w:szCs w:val="16"/>
          <w:lang w:val="es-UY"/>
        </w:rPr>
      </w:pPr>
    </w:p>
    <w:p w:rsidR="00FE33C8" w:rsidRDefault="00607824" w:rsidP="00FE33C8">
      <w:pPr>
        <w:pStyle w:val="Textoindependiente"/>
        <w:numPr>
          <w:ilvl w:val="0"/>
          <w:numId w:val="3"/>
        </w:numPr>
        <w:jc w:val="both"/>
        <w:rPr>
          <w:rFonts w:ascii="Times New Roman" w:hAnsi="Times New Roman"/>
          <w:sz w:val="24"/>
          <w:szCs w:val="24"/>
        </w:rPr>
      </w:pPr>
      <w:r w:rsidRPr="00FE33C8">
        <w:rPr>
          <w:rFonts w:ascii="Times New Roman" w:hAnsi="Times New Roman"/>
          <w:sz w:val="24"/>
          <w:szCs w:val="24"/>
        </w:rPr>
        <w:t>La división en situaciones de disponibilidad hídrica mensual tiene, en cada punto, diversas frecuencias d</w:t>
      </w:r>
      <w:r w:rsidRPr="00607824">
        <w:rPr>
          <w:rFonts w:ascii="Times New Roman" w:hAnsi="Times New Roman"/>
          <w:sz w:val="24"/>
          <w:szCs w:val="24"/>
        </w:rPr>
        <w:t xml:space="preserve">entro del período considerado. Su distribución mes a mes, se </w:t>
      </w:r>
      <w:r w:rsidRPr="00607824">
        <w:rPr>
          <w:rFonts w:ascii="Times New Roman" w:hAnsi="Times New Roman"/>
          <w:sz w:val="24"/>
          <w:szCs w:val="24"/>
        </w:rPr>
        <w:lastRenderedPageBreak/>
        <w:t>muestra en los gráficos de la Tabla 3-a (Anexo 3). En ellos, para simplificar, se agruparon las situaciones en "déficit" (categorías 0 y 1 de la Tabla IV-1), "equilibrio"(categoría 2) y "excesos"(categorías 3,</w:t>
      </w:r>
      <w:r w:rsidR="00281360">
        <w:rPr>
          <w:rFonts w:ascii="Times New Roman" w:hAnsi="Times New Roman"/>
          <w:sz w:val="24"/>
          <w:szCs w:val="24"/>
        </w:rPr>
        <w:t xml:space="preserve"> </w:t>
      </w:r>
      <w:r w:rsidRPr="00607824">
        <w:rPr>
          <w:rFonts w:ascii="Times New Roman" w:hAnsi="Times New Roman"/>
          <w:sz w:val="24"/>
          <w:szCs w:val="24"/>
        </w:rPr>
        <w:t>4,</w:t>
      </w:r>
      <w:r w:rsidR="00281360">
        <w:rPr>
          <w:rFonts w:ascii="Times New Roman" w:hAnsi="Times New Roman"/>
          <w:sz w:val="24"/>
          <w:szCs w:val="24"/>
        </w:rPr>
        <w:t xml:space="preserve"> </w:t>
      </w:r>
      <w:r w:rsidRPr="00607824">
        <w:rPr>
          <w:rFonts w:ascii="Times New Roman" w:hAnsi="Times New Roman"/>
          <w:sz w:val="24"/>
          <w:szCs w:val="24"/>
        </w:rPr>
        <w:t xml:space="preserve">5 y 6). </w:t>
      </w:r>
    </w:p>
    <w:p w:rsidR="00FE33C8" w:rsidRPr="006C3577" w:rsidRDefault="00FE33C8" w:rsidP="00FE33C8">
      <w:pPr>
        <w:pStyle w:val="Textoindependiente"/>
        <w:ind w:left="360"/>
        <w:jc w:val="both"/>
        <w:rPr>
          <w:rFonts w:ascii="Times New Roman" w:hAnsi="Times New Roman"/>
          <w:sz w:val="20"/>
        </w:rPr>
      </w:pPr>
    </w:p>
    <w:p w:rsidR="00607824" w:rsidRPr="006C3577" w:rsidRDefault="00FE33C8" w:rsidP="006C3577">
      <w:pPr>
        <w:pStyle w:val="Textoindependiente"/>
        <w:ind w:left="360"/>
        <w:jc w:val="both"/>
        <w:rPr>
          <w:rFonts w:ascii="Times New Roman" w:hAnsi="Times New Roman"/>
          <w:sz w:val="24"/>
          <w:szCs w:val="24"/>
        </w:rPr>
      </w:pPr>
      <w:r>
        <w:rPr>
          <w:rFonts w:ascii="Times New Roman" w:hAnsi="Times New Roman"/>
          <w:sz w:val="24"/>
          <w:szCs w:val="24"/>
        </w:rPr>
        <w:t xml:space="preserve">2. </w:t>
      </w:r>
      <w:r w:rsidR="00607824" w:rsidRPr="00607824">
        <w:rPr>
          <w:rFonts w:ascii="Times New Roman" w:hAnsi="Times New Roman"/>
          <w:sz w:val="24"/>
          <w:szCs w:val="24"/>
        </w:rPr>
        <w:t>Hay una ligera tendencia hacia la parte occidental y central del territorio, a que el comienzo de una racha de al menos 2 meses deficitarios, cuando ocurre, sea más preferentemente en octubre (Figura IV-14), mientras que el número total de rachas (no su extensión), tiene también una preferencia por el sector occidental (Figura IV-13), aunque las diferencias entre octubre y noviembre no son significativas</w:t>
      </w:r>
      <w:r w:rsidR="002631F8">
        <w:rPr>
          <w:rStyle w:val="Refdenotaalpie"/>
          <w:rFonts w:ascii="Times New Roman" w:hAnsi="Times New Roman"/>
          <w:sz w:val="24"/>
          <w:szCs w:val="24"/>
        </w:rPr>
        <w:footnoteReference w:id="2"/>
      </w:r>
      <w:r w:rsidR="00607824" w:rsidRPr="00607824">
        <w:rPr>
          <w:rFonts w:ascii="Times New Roman" w:hAnsi="Times New Roman"/>
          <w:sz w:val="24"/>
          <w:szCs w:val="24"/>
        </w:rPr>
        <w:t xml:space="preserve">.  </w:t>
      </w:r>
    </w:p>
    <w:p w:rsidR="00607824" w:rsidRPr="00607824" w:rsidRDefault="00607824" w:rsidP="00607824">
      <w:pPr>
        <w:jc w:val="both"/>
        <w:rPr>
          <w:sz w:val="16"/>
          <w:lang w:val="es-UY"/>
        </w:rPr>
      </w:pPr>
    </w:p>
    <w:tbl>
      <w:tblPr>
        <w:tblW w:w="0" w:type="auto"/>
        <w:jc w:val="center"/>
        <w:tblLayout w:type="fixed"/>
        <w:tblCellMar>
          <w:left w:w="30" w:type="dxa"/>
          <w:right w:w="30" w:type="dxa"/>
        </w:tblCellMar>
        <w:tblLook w:val="0000"/>
      </w:tblPr>
      <w:tblGrid>
        <w:gridCol w:w="1756"/>
        <w:gridCol w:w="524"/>
        <w:gridCol w:w="524"/>
        <w:gridCol w:w="524"/>
        <w:gridCol w:w="524"/>
        <w:gridCol w:w="524"/>
        <w:gridCol w:w="524"/>
        <w:gridCol w:w="524"/>
        <w:gridCol w:w="524"/>
        <w:gridCol w:w="524"/>
        <w:gridCol w:w="524"/>
        <w:gridCol w:w="547"/>
        <w:gridCol w:w="501"/>
        <w:gridCol w:w="748"/>
      </w:tblGrid>
      <w:tr w:rsidR="00607824">
        <w:tblPrEx>
          <w:tblCellMar>
            <w:top w:w="0" w:type="dxa"/>
            <w:bottom w:w="0" w:type="dxa"/>
          </w:tblCellMar>
        </w:tblPrEx>
        <w:trPr>
          <w:cantSplit/>
          <w:trHeight w:val="256"/>
          <w:jc w:val="center"/>
        </w:trPr>
        <w:tc>
          <w:tcPr>
            <w:tcW w:w="8792" w:type="dxa"/>
            <w:gridSpan w:val="14"/>
            <w:tcBorders>
              <w:top w:val="single" w:sz="4" w:space="0" w:color="auto"/>
              <w:left w:val="single" w:sz="6" w:space="0" w:color="auto"/>
              <w:right w:val="single" w:sz="6" w:space="0" w:color="auto"/>
            </w:tcBorders>
          </w:tcPr>
          <w:p w:rsidR="00607824" w:rsidRDefault="00607824" w:rsidP="00607824">
            <w:pPr>
              <w:spacing w:before="20" w:after="40"/>
              <w:jc w:val="right"/>
              <w:rPr>
                <w:rFonts w:ascii="Arial" w:hAnsi="Arial"/>
                <w:snapToGrid w:val="0"/>
                <w:color w:val="000000"/>
                <w:lang w:val="es-ES_tradnl"/>
              </w:rPr>
            </w:pPr>
            <w:r>
              <w:rPr>
                <w:rFonts w:ascii="Arial" w:hAnsi="Arial"/>
                <w:snapToGrid w:val="0"/>
                <w:color w:val="000000"/>
                <w:lang w:val="es-ES_tradnl"/>
              </w:rPr>
              <w:t xml:space="preserve">Tabla IV-2    </w:t>
            </w:r>
            <w:r>
              <w:rPr>
                <w:rFonts w:ascii="Arial" w:hAnsi="Arial"/>
                <w:b/>
                <w:snapToGrid w:val="0"/>
                <w:color w:val="000000"/>
                <w:sz w:val="21"/>
                <w:lang w:val="es-ES_tradnl"/>
              </w:rPr>
              <w:t>Número de veces en que se dio inicio a rachas con varios meses IH &lt; 0,8</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FE33C8" w:rsidP="00607824">
            <w:pPr>
              <w:spacing w:before="40" w:after="40"/>
              <w:jc w:val="center"/>
              <w:rPr>
                <w:rFonts w:ascii="Arial" w:hAnsi="Arial"/>
                <w:snapToGrid w:val="0"/>
                <w:color w:val="000000"/>
                <w:lang w:val="es-ES_tradnl"/>
              </w:rPr>
            </w:pPr>
            <w:r>
              <w:rPr>
                <w:rFonts w:ascii="Arial" w:hAnsi="Arial"/>
                <w:snapToGrid w:val="0"/>
                <w:color w:val="000000"/>
                <w:lang w:val="es-ES_tradnl"/>
              </w:rPr>
              <w:t>E</w:t>
            </w:r>
            <w:r w:rsidR="00607824">
              <w:rPr>
                <w:rFonts w:ascii="Arial" w:hAnsi="Arial"/>
                <w:snapToGrid w:val="0"/>
                <w:color w:val="000000"/>
                <w:lang w:val="es-ES_tradnl"/>
              </w:rPr>
              <w:t>stación</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Ene</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Feb</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Mar</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Abr</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May</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Jun</w:t>
            </w:r>
          </w:p>
        </w:tc>
        <w:tc>
          <w:tcPr>
            <w:tcW w:w="524" w:type="dxa"/>
          </w:tcPr>
          <w:p w:rsidR="00607824" w:rsidRDefault="00607824" w:rsidP="00607824">
            <w:pPr>
              <w:jc w:val="center"/>
              <w:rPr>
                <w:rFonts w:ascii="Arial" w:hAnsi="Arial"/>
                <w:snapToGrid w:val="0"/>
                <w:color w:val="000000"/>
                <w:sz w:val="22"/>
                <w:lang w:val="es-ES_tradnl"/>
              </w:rPr>
            </w:pPr>
            <w:r>
              <w:rPr>
                <w:rFonts w:ascii="Arial" w:hAnsi="Arial"/>
                <w:snapToGrid w:val="0"/>
                <w:color w:val="000000"/>
                <w:sz w:val="22"/>
                <w:lang w:val="es-ES_tradnl"/>
              </w:rPr>
              <w:t>Jul</w:t>
            </w:r>
          </w:p>
        </w:tc>
        <w:tc>
          <w:tcPr>
            <w:tcW w:w="524" w:type="dxa"/>
          </w:tcPr>
          <w:p w:rsidR="00607824" w:rsidRDefault="00607824" w:rsidP="00607824">
            <w:pPr>
              <w:jc w:val="center"/>
              <w:rPr>
                <w:rFonts w:ascii="Arial" w:hAnsi="Arial"/>
                <w:snapToGrid w:val="0"/>
                <w:color w:val="000000"/>
                <w:sz w:val="22"/>
                <w:lang w:val="en-AU"/>
              </w:rPr>
            </w:pPr>
            <w:r>
              <w:rPr>
                <w:rFonts w:ascii="Arial" w:hAnsi="Arial"/>
                <w:snapToGrid w:val="0"/>
                <w:color w:val="000000"/>
                <w:sz w:val="22"/>
                <w:lang w:val="en-AU"/>
              </w:rPr>
              <w:t>Ago</w:t>
            </w:r>
          </w:p>
        </w:tc>
        <w:tc>
          <w:tcPr>
            <w:tcW w:w="524" w:type="dxa"/>
          </w:tcPr>
          <w:p w:rsidR="00607824" w:rsidRDefault="00607824" w:rsidP="00607824">
            <w:pPr>
              <w:jc w:val="center"/>
              <w:rPr>
                <w:rFonts w:ascii="Arial" w:hAnsi="Arial"/>
                <w:snapToGrid w:val="0"/>
                <w:color w:val="000000"/>
                <w:sz w:val="22"/>
                <w:lang w:val="en-AU"/>
              </w:rPr>
            </w:pPr>
            <w:r>
              <w:rPr>
                <w:rFonts w:ascii="Arial" w:hAnsi="Arial"/>
                <w:snapToGrid w:val="0"/>
                <w:color w:val="000000"/>
                <w:sz w:val="22"/>
                <w:lang w:val="en-AU"/>
              </w:rPr>
              <w:t>Set</w:t>
            </w:r>
          </w:p>
        </w:tc>
        <w:tc>
          <w:tcPr>
            <w:tcW w:w="524" w:type="dxa"/>
          </w:tcPr>
          <w:p w:rsidR="00607824" w:rsidRDefault="00607824" w:rsidP="00607824">
            <w:pPr>
              <w:jc w:val="center"/>
              <w:rPr>
                <w:rFonts w:ascii="Arial" w:hAnsi="Arial"/>
                <w:snapToGrid w:val="0"/>
                <w:color w:val="000000"/>
                <w:sz w:val="22"/>
                <w:lang w:val="en-AU"/>
              </w:rPr>
            </w:pPr>
            <w:r>
              <w:rPr>
                <w:rFonts w:ascii="Arial" w:hAnsi="Arial"/>
                <w:snapToGrid w:val="0"/>
                <w:color w:val="000000"/>
                <w:sz w:val="22"/>
                <w:lang w:val="en-AU"/>
              </w:rPr>
              <w:t>Oct</w:t>
            </w:r>
          </w:p>
        </w:tc>
        <w:tc>
          <w:tcPr>
            <w:tcW w:w="547" w:type="dxa"/>
          </w:tcPr>
          <w:p w:rsidR="00607824" w:rsidRDefault="00607824" w:rsidP="00607824">
            <w:pPr>
              <w:jc w:val="center"/>
              <w:rPr>
                <w:rFonts w:ascii="Arial" w:hAnsi="Arial"/>
                <w:snapToGrid w:val="0"/>
                <w:sz w:val="22"/>
                <w:lang w:val="en-AU"/>
              </w:rPr>
            </w:pPr>
            <w:r>
              <w:rPr>
                <w:rFonts w:ascii="Arial" w:hAnsi="Arial"/>
                <w:snapToGrid w:val="0"/>
                <w:sz w:val="22"/>
                <w:lang w:val="en-AU"/>
              </w:rPr>
              <w:t>Nov</w:t>
            </w:r>
          </w:p>
        </w:tc>
        <w:tc>
          <w:tcPr>
            <w:tcW w:w="501" w:type="dxa"/>
          </w:tcPr>
          <w:p w:rsidR="00607824" w:rsidRDefault="00607824" w:rsidP="00607824">
            <w:pPr>
              <w:jc w:val="center"/>
              <w:rPr>
                <w:rFonts w:ascii="Arial" w:hAnsi="Arial"/>
                <w:snapToGrid w:val="0"/>
                <w:color w:val="000000"/>
                <w:sz w:val="22"/>
                <w:lang w:val="en-AU"/>
              </w:rPr>
            </w:pPr>
            <w:r>
              <w:rPr>
                <w:rFonts w:ascii="Arial" w:hAnsi="Arial"/>
                <w:snapToGrid w:val="0"/>
                <w:color w:val="000000"/>
                <w:sz w:val="22"/>
                <w:lang w:val="en-AU"/>
              </w:rPr>
              <w:t>Dic</w:t>
            </w:r>
          </w:p>
        </w:tc>
        <w:tc>
          <w:tcPr>
            <w:tcW w:w="748" w:type="dxa"/>
            <w:tcBorders>
              <w:left w:val="single" w:sz="6" w:space="0" w:color="auto"/>
              <w:right w:val="single" w:sz="6" w:space="0" w:color="auto"/>
            </w:tcBorders>
          </w:tcPr>
          <w:p w:rsidR="00607824" w:rsidRDefault="00607824" w:rsidP="00607824">
            <w:pPr>
              <w:jc w:val="center"/>
              <w:rPr>
                <w:rFonts w:ascii="Arial" w:hAnsi="Arial"/>
                <w:snapToGrid w:val="0"/>
                <w:color w:val="000000"/>
                <w:sz w:val="22"/>
                <w:lang w:val="en-AU"/>
              </w:rPr>
            </w:pPr>
            <w:r>
              <w:rPr>
                <w:rFonts w:ascii="Arial" w:hAnsi="Arial"/>
                <w:snapToGrid w:val="0"/>
                <w:color w:val="000000"/>
                <w:sz w:val="22"/>
                <w:lang w:val="en-AU"/>
              </w:rPr>
              <w:t>Total</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Bella Unión</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15</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76</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Artigas</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67</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Salto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15</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73</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Paysandú</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14</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78</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Paso de los Toros</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19</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68</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Melo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20</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69</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Mercedes</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14</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80</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Carrasco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66</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Colonia</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14</w:t>
            </w:r>
          </w:p>
        </w:tc>
        <w:tc>
          <w:tcPr>
            <w:tcW w:w="501"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72</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Treinta y Tres</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15</w:t>
            </w:r>
          </w:p>
        </w:tc>
        <w:tc>
          <w:tcPr>
            <w:tcW w:w="547"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15</w:t>
            </w:r>
          </w:p>
        </w:tc>
        <w:tc>
          <w:tcPr>
            <w:tcW w:w="501"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9</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63</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n-AU"/>
              </w:rPr>
            </w:pPr>
            <w:r>
              <w:rPr>
                <w:rFonts w:ascii="Arial" w:hAnsi="Arial"/>
                <w:b/>
                <w:snapToGrid w:val="0"/>
                <w:color w:val="000000"/>
                <w:sz w:val="18"/>
                <w:lang w:val="en-AU"/>
              </w:rPr>
              <w:t>Rocha</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15</w:t>
            </w:r>
          </w:p>
        </w:tc>
        <w:tc>
          <w:tcPr>
            <w:tcW w:w="547"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17</w:t>
            </w:r>
          </w:p>
        </w:tc>
        <w:tc>
          <w:tcPr>
            <w:tcW w:w="501"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13</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71</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n-AU"/>
              </w:rPr>
            </w:pPr>
            <w:r>
              <w:rPr>
                <w:rFonts w:ascii="Arial" w:hAnsi="Arial"/>
                <w:b/>
                <w:snapToGrid w:val="0"/>
                <w:color w:val="000000"/>
                <w:sz w:val="18"/>
                <w:lang w:val="en-AU"/>
              </w:rPr>
              <w:t>Rivera</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14</w:t>
            </w:r>
          </w:p>
        </w:tc>
        <w:tc>
          <w:tcPr>
            <w:tcW w:w="547"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14</w:t>
            </w:r>
          </w:p>
        </w:tc>
        <w:tc>
          <w:tcPr>
            <w:tcW w:w="501"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57</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n-AU"/>
              </w:rPr>
            </w:pPr>
            <w:r>
              <w:rPr>
                <w:rFonts w:ascii="Arial" w:hAnsi="Arial"/>
                <w:b/>
                <w:snapToGrid w:val="0"/>
                <w:color w:val="000000"/>
                <w:sz w:val="18"/>
                <w:lang w:val="en-AU"/>
              </w:rPr>
              <w:t>Young</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14</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80</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Baltasar Brum</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81</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Queguay Chico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13</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80</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Vichadero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13</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16</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71</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Minas de Corrales</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01"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12</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66</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Nueva Palmira</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01"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13</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b/>
                <w:bCs/>
                <w:snapToGrid w:val="0"/>
                <w:color w:val="000000"/>
                <w:lang w:val="es-ES_tradnl"/>
              </w:rPr>
            </w:pPr>
            <w:r>
              <w:rPr>
                <w:rFonts w:ascii="Arial" w:hAnsi="Arial"/>
                <w:b/>
                <w:bCs/>
                <w:snapToGrid w:val="0"/>
                <w:color w:val="000000"/>
                <w:lang w:val="es-ES_tradnl"/>
              </w:rPr>
              <w:t>83</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FE33C8" w:rsidP="00607824">
            <w:pPr>
              <w:jc w:val="center"/>
              <w:rPr>
                <w:rFonts w:ascii="Arial" w:hAnsi="Arial"/>
                <w:b/>
                <w:snapToGrid w:val="0"/>
                <w:color w:val="000000"/>
                <w:sz w:val="18"/>
                <w:lang w:val="es-ES_tradnl"/>
              </w:rPr>
            </w:pPr>
            <w:r>
              <w:rPr>
                <w:rFonts w:ascii="Arial" w:hAnsi="Arial"/>
                <w:b/>
                <w:snapToGrid w:val="0"/>
                <w:color w:val="000000"/>
                <w:sz w:val="18"/>
                <w:lang w:val="es-ES_tradnl"/>
              </w:rPr>
              <w:t>Estancuela</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14</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13</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78</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Palmita</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15</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lang w:val="es-ES_tradnl"/>
              </w:rPr>
            </w:pPr>
            <w:r>
              <w:rPr>
                <w:rFonts w:ascii="Arial" w:hAnsi="Arial"/>
                <w:snapToGrid w:val="0"/>
                <w:lang w:val="es-ES_tradnl"/>
              </w:rPr>
              <w:t>82</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Minas</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11</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13</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65</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Punta del Este</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17</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66</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Cerro Colorado</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13</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13</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12</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77</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Chuy</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9</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19</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68</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Trinidad</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8</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5</w:t>
            </w:r>
          </w:p>
        </w:tc>
        <w:tc>
          <w:tcPr>
            <w:tcW w:w="524"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11</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11</w:t>
            </w:r>
          </w:p>
        </w:tc>
        <w:tc>
          <w:tcPr>
            <w:tcW w:w="501"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11</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79</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Florida</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10</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4</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2</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6</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3</w:t>
            </w:r>
          </w:p>
        </w:tc>
        <w:tc>
          <w:tcPr>
            <w:tcW w:w="524"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13</w:t>
            </w:r>
          </w:p>
        </w:tc>
        <w:tc>
          <w:tcPr>
            <w:tcW w:w="547" w:type="dxa"/>
          </w:tcPr>
          <w:p w:rsidR="00607824" w:rsidRDefault="00607824" w:rsidP="00607824">
            <w:pPr>
              <w:spacing w:before="20"/>
              <w:jc w:val="center"/>
              <w:rPr>
                <w:rFonts w:ascii="Arial" w:hAnsi="Arial"/>
                <w:b/>
                <w:snapToGrid w:val="0"/>
                <w:color w:val="800000"/>
                <w:lang w:val="es-ES_tradnl"/>
              </w:rPr>
            </w:pPr>
            <w:r>
              <w:rPr>
                <w:rFonts w:ascii="Arial" w:hAnsi="Arial"/>
                <w:b/>
                <w:snapToGrid w:val="0"/>
                <w:color w:val="800000"/>
                <w:lang w:val="es-ES_tradnl"/>
              </w:rPr>
              <w:t>14</w:t>
            </w:r>
          </w:p>
        </w:tc>
        <w:tc>
          <w:tcPr>
            <w:tcW w:w="501" w:type="dxa"/>
          </w:tcPr>
          <w:p w:rsidR="00607824" w:rsidRDefault="00607824" w:rsidP="00607824">
            <w:pPr>
              <w:spacing w:before="20"/>
              <w:jc w:val="center"/>
              <w:rPr>
                <w:rFonts w:ascii="Arial" w:hAnsi="Arial"/>
                <w:snapToGrid w:val="0"/>
                <w:color w:val="000000"/>
                <w:lang w:val="es-ES_tradnl"/>
              </w:rPr>
            </w:pPr>
            <w:r>
              <w:rPr>
                <w:rFonts w:ascii="Arial" w:hAnsi="Arial"/>
                <w:snapToGrid w:val="0"/>
                <w:color w:val="000000"/>
                <w:lang w:val="es-ES_tradnl"/>
              </w:rPr>
              <w:t>13</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lang w:val="es-ES_tradnl"/>
              </w:rPr>
            </w:pPr>
            <w:r>
              <w:rPr>
                <w:rFonts w:ascii="Arial" w:hAnsi="Arial"/>
                <w:snapToGrid w:val="0"/>
                <w:lang w:val="es-ES_tradnl"/>
              </w:rPr>
              <w:t>81</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s-ES_tradnl"/>
              </w:rPr>
            </w:pPr>
            <w:r>
              <w:rPr>
                <w:rFonts w:ascii="Arial" w:hAnsi="Arial"/>
                <w:b/>
                <w:snapToGrid w:val="0"/>
                <w:color w:val="000000"/>
                <w:sz w:val="18"/>
                <w:lang w:val="es-ES_tradnl"/>
              </w:rPr>
              <w:t>Cebollatí</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11</w:t>
            </w:r>
          </w:p>
        </w:tc>
        <w:tc>
          <w:tcPr>
            <w:tcW w:w="547"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13</w:t>
            </w:r>
          </w:p>
        </w:tc>
        <w:tc>
          <w:tcPr>
            <w:tcW w:w="501"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12</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65</w:t>
            </w:r>
          </w:p>
        </w:tc>
      </w:tr>
      <w:tr w:rsidR="00607824">
        <w:tblPrEx>
          <w:tblCellMar>
            <w:top w:w="0" w:type="dxa"/>
            <w:bottom w:w="0" w:type="dxa"/>
          </w:tblCellMar>
        </w:tblPrEx>
        <w:trPr>
          <w:trHeight w:val="256"/>
          <w:jc w:val="center"/>
        </w:trPr>
        <w:tc>
          <w:tcPr>
            <w:tcW w:w="1756" w:type="dxa"/>
            <w:tcBorders>
              <w:left w:val="single" w:sz="6" w:space="0" w:color="auto"/>
              <w:right w:val="single" w:sz="6" w:space="0" w:color="auto"/>
            </w:tcBorders>
          </w:tcPr>
          <w:p w:rsidR="00607824" w:rsidRDefault="00607824" w:rsidP="00607824">
            <w:pPr>
              <w:jc w:val="center"/>
              <w:rPr>
                <w:rFonts w:ascii="Arial" w:hAnsi="Arial"/>
                <w:b/>
                <w:snapToGrid w:val="0"/>
                <w:color w:val="000000"/>
                <w:sz w:val="18"/>
                <w:lang w:val="en-AU"/>
              </w:rPr>
            </w:pPr>
            <w:r>
              <w:rPr>
                <w:rFonts w:ascii="Arial" w:hAnsi="Arial"/>
                <w:b/>
                <w:snapToGrid w:val="0"/>
                <w:color w:val="000000"/>
                <w:sz w:val="18"/>
                <w:lang w:val="en-AU"/>
              </w:rPr>
              <w:t>Tambores</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2</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13</w:t>
            </w:r>
          </w:p>
        </w:tc>
        <w:tc>
          <w:tcPr>
            <w:tcW w:w="547" w:type="dxa"/>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11</w:t>
            </w:r>
          </w:p>
        </w:tc>
        <w:tc>
          <w:tcPr>
            <w:tcW w:w="501" w:type="dxa"/>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13</w:t>
            </w:r>
          </w:p>
        </w:tc>
        <w:tc>
          <w:tcPr>
            <w:tcW w:w="748" w:type="dxa"/>
            <w:tcBorders>
              <w:left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70</w:t>
            </w:r>
          </w:p>
        </w:tc>
      </w:tr>
      <w:tr w:rsidR="00607824">
        <w:tblPrEx>
          <w:tblCellMar>
            <w:top w:w="0" w:type="dxa"/>
            <w:bottom w:w="0" w:type="dxa"/>
          </w:tblCellMar>
        </w:tblPrEx>
        <w:trPr>
          <w:trHeight w:val="256"/>
          <w:jc w:val="center"/>
        </w:trPr>
        <w:tc>
          <w:tcPr>
            <w:tcW w:w="1756" w:type="dxa"/>
            <w:tcBorders>
              <w:left w:val="single" w:sz="6" w:space="0" w:color="auto"/>
              <w:bottom w:val="single" w:sz="6" w:space="0" w:color="auto"/>
              <w:right w:val="single" w:sz="6" w:space="0" w:color="auto"/>
            </w:tcBorders>
          </w:tcPr>
          <w:p w:rsidR="00607824" w:rsidRDefault="00607824" w:rsidP="00607824">
            <w:pPr>
              <w:jc w:val="center"/>
              <w:rPr>
                <w:rFonts w:ascii="Arial" w:hAnsi="Arial"/>
                <w:b/>
                <w:snapToGrid w:val="0"/>
                <w:color w:val="000000"/>
                <w:sz w:val="18"/>
                <w:lang w:val="en-AU"/>
              </w:rPr>
            </w:pPr>
            <w:r>
              <w:rPr>
                <w:rFonts w:ascii="Arial" w:hAnsi="Arial"/>
                <w:b/>
                <w:snapToGrid w:val="0"/>
                <w:color w:val="000000"/>
                <w:sz w:val="18"/>
                <w:lang w:val="en-AU"/>
              </w:rPr>
              <w:t>Libertad</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6</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5</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0</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4</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3</w:t>
            </w:r>
          </w:p>
        </w:tc>
        <w:tc>
          <w:tcPr>
            <w:tcW w:w="524"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14</w:t>
            </w:r>
          </w:p>
        </w:tc>
        <w:tc>
          <w:tcPr>
            <w:tcW w:w="547" w:type="dxa"/>
            <w:tcBorders>
              <w:bottom w:val="single" w:sz="6" w:space="0" w:color="auto"/>
            </w:tcBorders>
          </w:tcPr>
          <w:p w:rsidR="00607824" w:rsidRDefault="00607824" w:rsidP="00607824">
            <w:pPr>
              <w:spacing w:before="20"/>
              <w:jc w:val="center"/>
              <w:rPr>
                <w:rFonts w:ascii="Arial" w:hAnsi="Arial"/>
                <w:b/>
                <w:snapToGrid w:val="0"/>
                <w:color w:val="800000"/>
                <w:lang w:val="en-AU"/>
              </w:rPr>
            </w:pPr>
            <w:r>
              <w:rPr>
                <w:rFonts w:ascii="Arial" w:hAnsi="Arial"/>
                <w:b/>
                <w:snapToGrid w:val="0"/>
                <w:color w:val="800000"/>
                <w:lang w:val="en-AU"/>
              </w:rPr>
              <w:t>15</w:t>
            </w:r>
          </w:p>
        </w:tc>
        <w:tc>
          <w:tcPr>
            <w:tcW w:w="501" w:type="dxa"/>
            <w:tcBorders>
              <w:bottom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11</w:t>
            </w:r>
          </w:p>
        </w:tc>
        <w:tc>
          <w:tcPr>
            <w:tcW w:w="748" w:type="dxa"/>
            <w:tcBorders>
              <w:left w:val="single" w:sz="6" w:space="0" w:color="auto"/>
              <w:bottom w:val="single" w:sz="6" w:space="0" w:color="auto"/>
              <w:right w:val="single" w:sz="6" w:space="0" w:color="auto"/>
            </w:tcBorders>
          </w:tcPr>
          <w:p w:rsidR="00607824" w:rsidRDefault="00607824" w:rsidP="00607824">
            <w:pPr>
              <w:spacing w:before="20"/>
              <w:jc w:val="center"/>
              <w:rPr>
                <w:rFonts w:ascii="Arial" w:hAnsi="Arial"/>
                <w:snapToGrid w:val="0"/>
                <w:color w:val="000000"/>
                <w:lang w:val="en-AU"/>
              </w:rPr>
            </w:pPr>
            <w:r>
              <w:rPr>
                <w:rFonts w:ascii="Arial" w:hAnsi="Arial"/>
                <w:snapToGrid w:val="0"/>
                <w:color w:val="000000"/>
                <w:lang w:val="en-AU"/>
              </w:rPr>
              <w:t>79</w:t>
            </w:r>
          </w:p>
        </w:tc>
      </w:tr>
    </w:tbl>
    <w:p w:rsidR="00607824" w:rsidRDefault="00607824" w:rsidP="00607824">
      <w:pPr>
        <w:rPr>
          <w:bCs/>
          <w:sz w:val="12"/>
        </w:rPr>
      </w:pPr>
    </w:p>
    <w:p w:rsidR="00607824" w:rsidRDefault="00607824" w:rsidP="00607824">
      <w:pPr>
        <w:rPr>
          <w:sz w:val="16"/>
        </w:rPr>
        <w:sectPr w:rsidR="00607824">
          <w:type w:val="continuous"/>
          <w:pgSz w:w="11906" w:h="16838" w:code="9"/>
          <w:pgMar w:top="1361" w:right="1247" w:bottom="1588" w:left="1588" w:header="680" w:footer="680" w:gutter="0"/>
          <w:cols w:space="720"/>
        </w:sectPr>
      </w:pPr>
    </w:p>
    <w:p w:rsidR="00607824" w:rsidRDefault="009C07C6" w:rsidP="009C07C6">
      <w:pPr>
        <w:jc w:val="center"/>
        <w:rPr>
          <w:b/>
        </w:rPr>
      </w:pPr>
      <w:r>
        <w:object w:dxaOrig="6809" w:dyaOrig="6524">
          <v:shape id="_x0000_i1038" type="#_x0000_t75" style="width:340.5pt;height:327pt" o:ole="">
            <v:imagedata r:id="rId51" o:title=""/>
          </v:shape>
          <o:OLEObject Type="Embed" ProgID="PBrush" ShapeID="_x0000_i1038" DrawAspect="Content" ObjectID="_1519129607" r:id="rId52"/>
        </w:object>
      </w:r>
    </w:p>
    <w:p w:rsidR="00607824" w:rsidRDefault="00321ECC" w:rsidP="009C07C6">
      <w:pPr>
        <w:jc w:val="center"/>
      </w:pPr>
      <w:r>
        <w:rPr>
          <w:noProof/>
        </w:rPr>
        <w:drawing>
          <wp:inline distT="0" distB="0" distL="0" distR="0">
            <wp:extent cx="4031615" cy="4073525"/>
            <wp:effectExtent l="0" t="0" r="6985" b="0"/>
            <wp:docPr id="28" name="Imagen 28" descr="Rac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chIni"/>
                    <pic:cNvPicPr>
                      <a:picLocks noChangeAspect="1" noChangeArrowheads="1"/>
                    </pic:cNvPicPr>
                  </pic:nvPicPr>
                  <pic:blipFill>
                    <a:blip r:embed="rId53"/>
                    <a:srcRect/>
                    <a:stretch>
                      <a:fillRect/>
                    </a:stretch>
                  </pic:blipFill>
                  <pic:spPr bwMode="auto">
                    <a:xfrm>
                      <a:off x="0" y="0"/>
                      <a:ext cx="4031615" cy="4073525"/>
                    </a:xfrm>
                    <a:prstGeom prst="rect">
                      <a:avLst/>
                    </a:prstGeom>
                    <a:noFill/>
                    <a:ln w="9525">
                      <a:noFill/>
                      <a:miter lim="800000"/>
                      <a:headEnd/>
                      <a:tailEnd/>
                    </a:ln>
                  </pic:spPr>
                </pic:pic>
              </a:graphicData>
            </a:graphic>
          </wp:inline>
        </w:drawing>
      </w:r>
    </w:p>
    <w:p w:rsidR="002631F8" w:rsidRPr="00AD7BE3" w:rsidRDefault="002631F8" w:rsidP="00607824">
      <w:pPr>
        <w:rPr>
          <w:lang w:val="es-UY"/>
        </w:rPr>
      </w:pPr>
    </w:p>
    <w:sectPr w:rsidR="002631F8" w:rsidRPr="00AD7BE3" w:rsidSect="00E50708">
      <w:headerReference w:type="default" r:id="rId54"/>
      <w:pgSz w:w="12240" w:h="15840"/>
      <w:pgMar w:top="1361" w:right="1361" w:bottom="1247"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494" w:rsidRDefault="005D5494">
      <w:r>
        <w:separator/>
      </w:r>
    </w:p>
  </w:endnote>
  <w:endnote w:type="continuationSeparator" w:id="1">
    <w:p w:rsidR="005D5494" w:rsidRDefault="005D54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Default="006C3577">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6C3577" w:rsidRDefault="006C3577">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Default="006C3577">
    <w:pPr>
      <w:pStyle w:val="Piedepgina"/>
      <w:framePr w:wrap="around" w:vAnchor="text" w:hAnchor="margin" w:xAlign="outside" w:y="1"/>
      <w:rPr>
        <w:rStyle w:val="Nmerodepgina"/>
        <w:sz w:val="32"/>
      </w:rPr>
    </w:pPr>
    <w:r>
      <w:rPr>
        <w:rStyle w:val="Nmerodepgina"/>
        <w:sz w:val="32"/>
      </w:rPr>
      <w:fldChar w:fldCharType="begin"/>
    </w:r>
    <w:r>
      <w:rPr>
        <w:rStyle w:val="Nmerodepgina"/>
        <w:sz w:val="32"/>
      </w:rPr>
      <w:instrText xml:space="preserve">PAGE  </w:instrText>
    </w:r>
    <w:r>
      <w:rPr>
        <w:rStyle w:val="Nmerodepgina"/>
        <w:sz w:val="32"/>
      </w:rPr>
      <w:fldChar w:fldCharType="separate"/>
    </w:r>
    <w:r w:rsidR="00321ECC">
      <w:rPr>
        <w:rStyle w:val="Nmerodepgina"/>
        <w:noProof/>
        <w:sz w:val="32"/>
      </w:rPr>
      <w:t>58</w:t>
    </w:r>
    <w:r>
      <w:rPr>
        <w:rStyle w:val="Nmerodepgina"/>
        <w:sz w:val="32"/>
      </w:rPr>
      <w:fldChar w:fldCharType="end"/>
    </w:r>
  </w:p>
  <w:p w:rsidR="006C3577" w:rsidRDefault="006C3577">
    <w:pPr>
      <w:pStyle w:val="Piedepgina"/>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Default="006C3577">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6C3577" w:rsidRDefault="006C3577">
    <w:pPr>
      <w:pStyle w:val="Piedepgina"/>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Default="006C3577">
    <w:pPr>
      <w:pStyle w:val="Piedepgina"/>
      <w:framePr w:wrap="around" w:vAnchor="text" w:hAnchor="margin" w:xAlign="outside" w:y="1"/>
      <w:rPr>
        <w:rStyle w:val="Nmerodepgina"/>
        <w:sz w:val="32"/>
      </w:rPr>
    </w:pPr>
    <w:r>
      <w:rPr>
        <w:rStyle w:val="Nmerodepgina"/>
        <w:sz w:val="32"/>
      </w:rPr>
      <w:fldChar w:fldCharType="begin"/>
    </w:r>
    <w:r>
      <w:rPr>
        <w:rStyle w:val="Nmerodepgina"/>
        <w:sz w:val="32"/>
      </w:rPr>
      <w:instrText xml:space="preserve">PAGE  </w:instrText>
    </w:r>
    <w:r>
      <w:rPr>
        <w:rStyle w:val="Nmerodepgina"/>
        <w:sz w:val="32"/>
      </w:rPr>
      <w:fldChar w:fldCharType="separate"/>
    </w:r>
    <w:r w:rsidR="003E5244">
      <w:rPr>
        <w:rStyle w:val="Nmerodepgina"/>
        <w:noProof/>
        <w:sz w:val="32"/>
      </w:rPr>
      <w:t>67</w:t>
    </w:r>
    <w:r>
      <w:rPr>
        <w:rStyle w:val="Nmerodepgina"/>
        <w:sz w:val="32"/>
      </w:rPr>
      <w:fldChar w:fldCharType="end"/>
    </w:r>
  </w:p>
  <w:p w:rsidR="006C3577" w:rsidRDefault="006C3577">
    <w:pPr>
      <w:pStyle w:val="Piedep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494" w:rsidRDefault="005D5494">
      <w:r>
        <w:separator/>
      </w:r>
    </w:p>
  </w:footnote>
  <w:footnote w:type="continuationSeparator" w:id="1">
    <w:p w:rsidR="005D5494" w:rsidRDefault="005D5494">
      <w:r>
        <w:continuationSeparator/>
      </w:r>
    </w:p>
  </w:footnote>
  <w:footnote w:id="2">
    <w:p w:rsidR="006C3577" w:rsidRPr="002631F8" w:rsidRDefault="006C3577">
      <w:pPr>
        <w:pStyle w:val="Textonotapie"/>
        <w:rPr>
          <w:lang w:val="es-UY"/>
        </w:rPr>
      </w:pPr>
      <w:r>
        <w:rPr>
          <w:rStyle w:val="Refdenotaalpie"/>
        </w:rPr>
        <w:footnoteRef/>
      </w:r>
      <w:r>
        <w:t xml:space="preserve"> </w:t>
      </w:r>
      <w:r>
        <w:rPr>
          <w:lang w:val="es-UY"/>
        </w:rPr>
        <w:t xml:space="preserve">Extraído de </w:t>
      </w:r>
      <w:r>
        <w:rPr>
          <w:rFonts w:ascii="Times New Roman" w:hAnsi="Times New Roman"/>
          <w:sz w:val="22"/>
          <w:lang w:val="es-ES"/>
        </w:rPr>
        <w:t>“</w:t>
      </w:r>
      <w:r>
        <w:rPr>
          <w:rFonts w:ascii="Times New Roman" w:hAnsi="Times New Roman"/>
          <w:b/>
          <w:bCs/>
          <w:i/>
          <w:iCs/>
          <w:sz w:val="22"/>
          <w:lang w:val="es-ES"/>
        </w:rPr>
        <w:t>Variación de largo período en la disponibilidad potencial de agua para pasturas en Uruguay”.</w:t>
      </w:r>
      <w:r>
        <w:rPr>
          <w:rFonts w:ascii="Times New Roman" w:hAnsi="Times New Roman"/>
          <w:b/>
          <w:bCs/>
          <w:sz w:val="22"/>
          <w:lang w:val="es-ES"/>
        </w:rPr>
        <w:t xml:space="preserve"> Tesis doctoral, Facultad de Ciencias Exactas y Naturales, Universidad de Buenos Aires, oct-2006.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Pr="006861EF" w:rsidRDefault="006C3577" w:rsidP="006861EF">
    <w:pPr>
      <w:pStyle w:val="Encabezado"/>
      <w:jc w:val="center"/>
      <w:rPr>
        <w:color w:val="333399"/>
        <w:spacing w:val="16"/>
        <w:szCs w:val="22"/>
      </w:rPr>
    </w:pPr>
    <w:r w:rsidRPr="006861EF">
      <w:rPr>
        <w:color w:val="333399"/>
        <w:spacing w:val="16"/>
        <w:sz w:val="22"/>
        <w:szCs w:val="22"/>
        <w:lang w:val="es-ES"/>
      </w:rPr>
      <w:t>CURSO DE ACTUALIZACION EN GEOGRAFIA FÍSICA – Módulo I - Climatología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577" w:rsidRPr="007D1272" w:rsidRDefault="006C3577" w:rsidP="007D1272">
    <w:pPr>
      <w:pStyle w:val="Encabezado"/>
      <w:jc w:val="center"/>
      <w:rPr>
        <w:color w:val="333399"/>
        <w:spacing w:val="16"/>
        <w:szCs w:val="22"/>
      </w:rPr>
    </w:pPr>
    <w:r w:rsidRPr="007D1272">
      <w:rPr>
        <w:color w:val="333399"/>
        <w:spacing w:val="16"/>
        <w:sz w:val="22"/>
        <w:szCs w:val="22"/>
        <w:lang w:val="es-ES"/>
      </w:rPr>
      <w:t>CURSO DE ACTUALIZACION EN GEOGRAFIA FÍSICA – Módulo I - Climatología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C47C2"/>
    <w:multiLevelType w:val="hybridMultilevel"/>
    <w:tmpl w:val="15887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786426F"/>
    <w:multiLevelType w:val="hybridMultilevel"/>
    <w:tmpl w:val="A60CA9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613F05C5"/>
    <w:multiLevelType w:val="hybridMultilevel"/>
    <w:tmpl w:val="1BEC8C1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stylePaneFormatFilter w:val="3F01"/>
  <w:defaultTabStop w:val="720"/>
  <w:noPunctuationKerning/>
  <w:characterSpacingControl w:val="doNotCompress"/>
  <w:footnotePr>
    <w:footnote w:id="0"/>
    <w:footnote w:id="1"/>
  </w:footnotePr>
  <w:endnotePr>
    <w:endnote w:id="0"/>
    <w:endnote w:id="1"/>
  </w:endnotePr>
  <w:compat>
    <w:applyBreakingRules/>
  </w:compat>
  <w:rsids>
    <w:rsidRoot w:val="00C730FD"/>
    <w:rsid w:val="000342FE"/>
    <w:rsid w:val="00046509"/>
    <w:rsid w:val="000871A6"/>
    <w:rsid w:val="00092B03"/>
    <w:rsid w:val="000953F3"/>
    <w:rsid w:val="0009615E"/>
    <w:rsid w:val="00096CAE"/>
    <w:rsid w:val="00143026"/>
    <w:rsid w:val="00153F2B"/>
    <w:rsid w:val="001646E7"/>
    <w:rsid w:val="00181BB3"/>
    <w:rsid w:val="001D728F"/>
    <w:rsid w:val="001E3836"/>
    <w:rsid w:val="001E4D10"/>
    <w:rsid w:val="00235506"/>
    <w:rsid w:val="00252A5C"/>
    <w:rsid w:val="002631F8"/>
    <w:rsid w:val="00265A7F"/>
    <w:rsid w:val="00281360"/>
    <w:rsid w:val="002B109C"/>
    <w:rsid w:val="002C70DA"/>
    <w:rsid w:val="002D2451"/>
    <w:rsid w:val="002D77ED"/>
    <w:rsid w:val="002F3DB2"/>
    <w:rsid w:val="0030125F"/>
    <w:rsid w:val="00321ECC"/>
    <w:rsid w:val="003356B1"/>
    <w:rsid w:val="003662F1"/>
    <w:rsid w:val="00390519"/>
    <w:rsid w:val="003957CF"/>
    <w:rsid w:val="003C2A89"/>
    <w:rsid w:val="003E5244"/>
    <w:rsid w:val="00463196"/>
    <w:rsid w:val="00467881"/>
    <w:rsid w:val="004B3D20"/>
    <w:rsid w:val="00503966"/>
    <w:rsid w:val="0052145A"/>
    <w:rsid w:val="00537B86"/>
    <w:rsid w:val="00565BB1"/>
    <w:rsid w:val="00591524"/>
    <w:rsid w:val="005D5494"/>
    <w:rsid w:val="00607824"/>
    <w:rsid w:val="00621C24"/>
    <w:rsid w:val="00621F45"/>
    <w:rsid w:val="0062724C"/>
    <w:rsid w:val="00635381"/>
    <w:rsid w:val="006861EF"/>
    <w:rsid w:val="006A70D4"/>
    <w:rsid w:val="006C3577"/>
    <w:rsid w:val="006C4039"/>
    <w:rsid w:val="0072670E"/>
    <w:rsid w:val="00793657"/>
    <w:rsid w:val="007970B8"/>
    <w:rsid w:val="007C2CED"/>
    <w:rsid w:val="007D1272"/>
    <w:rsid w:val="00804942"/>
    <w:rsid w:val="0083465A"/>
    <w:rsid w:val="00884ED6"/>
    <w:rsid w:val="00884F97"/>
    <w:rsid w:val="008B0A8A"/>
    <w:rsid w:val="008D4098"/>
    <w:rsid w:val="008E7CD6"/>
    <w:rsid w:val="008F7B70"/>
    <w:rsid w:val="009413C6"/>
    <w:rsid w:val="00964B6B"/>
    <w:rsid w:val="009756E1"/>
    <w:rsid w:val="009C07C6"/>
    <w:rsid w:val="009D0675"/>
    <w:rsid w:val="009D46F5"/>
    <w:rsid w:val="00A55D27"/>
    <w:rsid w:val="00A95464"/>
    <w:rsid w:val="00AC1996"/>
    <w:rsid w:val="00AD7BE3"/>
    <w:rsid w:val="00B70794"/>
    <w:rsid w:val="00B95435"/>
    <w:rsid w:val="00C730FD"/>
    <w:rsid w:val="00D25568"/>
    <w:rsid w:val="00D2658A"/>
    <w:rsid w:val="00D73597"/>
    <w:rsid w:val="00D86C6A"/>
    <w:rsid w:val="00D86EC2"/>
    <w:rsid w:val="00DA5751"/>
    <w:rsid w:val="00DA6E0F"/>
    <w:rsid w:val="00DC2F92"/>
    <w:rsid w:val="00DC4011"/>
    <w:rsid w:val="00E50708"/>
    <w:rsid w:val="00E53B2B"/>
    <w:rsid w:val="00EB5C8D"/>
    <w:rsid w:val="00EB728E"/>
    <w:rsid w:val="00ED190C"/>
    <w:rsid w:val="00F129DD"/>
    <w:rsid w:val="00F239FA"/>
    <w:rsid w:val="00F31140"/>
    <w:rsid w:val="00F36084"/>
    <w:rsid w:val="00F8182F"/>
    <w:rsid w:val="00FD619C"/>
    <w:rsid w:val="00FE3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AD7B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7D1272"/>
    <w:pPr>
      <w:tabs>
        <w:tab w:val="center" w:pos="4320"/>
        <w:tab w:val="right" w:pos="8640"/>
      </w:tabs>
    </w:pPr>
  </w:style>
  <w:style w:type="paragraph" w:styleId="Piedepgina">
    <w:name w:val="footer"/>
    <w:basedOn w:val="Normal"/>
    <w:rsid w:val="007D1272"/>
    <w:pPr>
      <w:tabs>
        <w:tab w:val="center" w:pos="4320"/>
        <w:tab w:val="right" w:pos="8640"/>
      </w:tabs>
    </w:pPr>
  </w:style>
  <w:style w:type="paragraph" w:styleId="Textoindependiente">
    <w:name w:val="Body Text"/>
    <w:basedOn w:val="Normal"/>
    <w:rsid w:val="00607824"/>
    <w:pPr>
      <w:jc w:val="center"/>
    </w:pPr>
    <w:rPr>
      <w:rFonts w:ascii="Arial" w:hAnsi="Arial"/>
      <w:sz w:val="28"/>
      <w:szCs w:val="20"/>
      <w:lang w:val="es-ES" w:eastAsia="es-ES"/>
    </w:rPr>
  </w:style>
  <w:style w:type="paragraph" w:styleId="Textonotapie">
    <w:name w:val="footnote text"/>
    <w:basedOn w:val="Normal"/>
    <w:semiHidden/>
    <w:rsid w:val="00607824"/>
    <w:rPr>
      <w:rFonts w:ascii="Courier New" w:hAnsi="Courier New"/>
      <w:sz w:val="20"/>
      <w:szCs w:val="20"/>
      <w:lang w:val="es-ES_tradnl" w:eastAsia="es-ES"/>
    </w:rPr>
  </w:style>
  <w:style w:type="paragraph" w:customStyle="1" w:styleId="BodyTextIndent2">
    <w:name w:val="Body Text Indent 2"/>
    <w:basedOn w:val="Normal"/>
    <w:rsid w:val="00607824"/>
    <w:pPr>
      <w:ind w:firstLine="708"/>
      <w:jc w:val="both"/>
    </w:pPr>
    <w:rPr>
      <w:szCs w:val="20"/>
      <w:lang w:val="es-UY" w:eastAsia="es-ES"/>
    </w:rPr>
  </w:style>
  <w:style w:type="paragraph" w:customStyle="1" w:styleId="a">
    <w:basedOn w:val="Normal"/>
    <w:next w:val="Sangradetextonormal"/>
    <w:rsid w:val="00607824"/>
    <w:pPr>
      <w:spacing w:after="120"/>
      <w:ind w:left="283"/>
    </w:pPr>
    <w:rPr>
      <w:sz w:val="20"/>
      <w:szCs w:val="20"/>
      <w:lang w:val="es-ES" w:eastAsia="es-ES"/>
    </w:rPr>
  </w:style>
  <w:style w:type="character" w:styleId="Nmerodepgina">
    <w:name w:val="page number"/>
    <w:basedOn w:val="Fuentedeprrafopredeter"/>
    <w:rsid w:val="00607824"/>
  </w:style>
  <w:style w:type="paragraph" w:styleId="Textoindependiente2">
    <w:name w:val="Body Text 2"/>
    <w:basedOn w:val="Normal"/>
    <w:rsid w:val="00607824"/>
    <w:pPr>
      <w:jc w:val="both"/>
    </w:pPr>
    <w:rPr>
      <w:szCs w:val="20"/>
      <w:lang w:val="es-ES" w:eastAsia="es-ES"/>
    </w:rPr>
  </w:style>
  <w:style w:type="paragraph" w:styleId="Sangradetextonormal">
    <w:name w:val="Body Text Indent"/>
    <w:basedOn w:val="Normal"/>
    <w:rsid w:val="00607824"/>
    <w:pPr>
      <w:spacing w:after="120"/>
      <w:ind w:left="283"/>
    </w:pPr>
  </w:style>
  <w:style w:type="character" w:styleId="Refdenotaalpie">
    <w:name w:val="footnote reference"/>
    <w:basedOn w:val="Fuentedeprrafopredeter"/>
    <w:semiHidden/>
    <w:rsid w:val="002631F8"/>
    <w:rPr>
      <w:vertAlign w:val="superscript"/>
    </w:rPr>
  </w:style>
</w:styles>
</file>

<file path=word/webSettings.xml><?xml version="1.0" encoding="utf-8"?>
<w:webSettings xmlns:r="http://schemas.openxmlformats.org/officeDocument/2006/relationships" xmlns:w="http://schemas.openxmlformats.org/wordprocessingml/2006/main">
  <w:divs>
    <w:div w:id="1055465212">
      <w:bodyDiv w:val="1"/>
      <w:marLeft w:val="0"/>
      <w:marRight w:val="0"/>
      <w:marTop w:val="0"/>
      <w:marBottom w:val="0"/>
      <w:divBdr>
        <w:top w:val="none" w:sz="0" w:space="0" w:color="auto"/>
        <w:left w:val="none" w:sz="0" w:space="0" w:color="auto"/>
        <w:bottom w:val="none" w:sz="0" w:space="0" w:color="auto"/>
        <w:right w:val="none" w:sz="0" w:space="0" w:color="auto"/>
      </w:divBdr>
      <w:divsChild>
        <w:div w:id="1679770864">
          <w:marLeft w:val="0"/>
          <w:marRight w:val="0"/>
          <w:marTop w:val="0"/>
          <w:marBottom w:val="0"/>
          <w:divBdr>
            <w:top w:val="none" w:sz="0" w:space="0" w:color="auto"/>
            <w:left w:val="none" w:sz="0" w:space="0" w:color="auto"/>
            <w:bottom w:val="none" w:sz="0" w:space="0" w:color="auto"/>
            <w:right w:val="none" w:sz="0" w:space="0" w:color="auto"/>
          </w:divBdr>
          <w:divsChild>
            <w:div w:id="201946725">
              <w:marLeft w:val="0"/>
              <w:marRight w:val="0"/>
              <w:marTop w:val="0"/>
              <w:marBottom w:val="0"/>
              <w:divBdr>
                <w:top w:val="none" w:sz="0" w:space="0" w:color="auto"/>
                <w:left w:val="none" w:sz="0" w:space="0" w:color="auto"/>
                <w:bottom w:val="none" w:sz="0" w:space="0" w:color="auto"/>
                <w:right w:val="none" w:sz="0" w:space="0" w:color="auto"/>
              </w:divBdr>
            </w:div>
            <w:div w:id="936403828">
              <w:marLeft w:val="0"/>
              <w:marRight w:val="0"/>
              <w:marTop w:val="0"/>
              <w:marBottom w:val="0"/>
              <w:divBdr>
                <w:top w:val="none" w:sz="0" w:space="0" w:color="auto"/>
                <w:left w:val="none" w:sz="0" w:space="0" w:color="auto"/>
                <w:bottom w:val="none" w:sz="0" w:space="0" w:color="auto"/>
                <w:right w:val="none" w:sz="0" w:space="0" w:color="auto"/>
              </w:divBdr>
            </w:div>
            <w:div w:id="9799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footer" Target="footer3.xml"/><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image" Target="media/image23.wmf"/><Relationship Id="rId47" Type="http://schemas.openxmlformats.org/officeDocument/2006/relationships/oleObject" Target="embeddings/oleObject10.bin"/><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oleObject" Target="embeddings/oleObject7.bin"/><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wmf"/><Relationship Id="rId29" Type="http://schemas.openxmlformats.org/officeDocument/2006/relationships/image" Target="media/image15.png"/><Relationship Id="rId41" Type="http://schemas.openxmlformats.org/officeDocument/2006/relationships/oleObject" Target="embeddings/oleObject8.bin"/><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oleObject" Target="embeddings/oleObject5.bin"/><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wmf"/><Relationship Id="rId53" Type="http://schemas.openxmlformats.org/officeDocument/2006/relationships/image" Target="media/image30.w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image" Target="media/image28.png"/><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oleObject" Target="embeddings/oleObject9.bin"/><Relationship Id="rId52"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4.png"/><Relationship Id="rId48" Type="http://schemas.openxmlformats.org/officeDocument/2006/relationships/image" Target="media/image27.wmf"/><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2504</Words>
  <Characters>14278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lpstr>
    </vt:vector>
  </TitlesOfParts>
  <Company>adv</Company>
  <LinksUpToDate>false</LinksUpToDate>
  <CharactersWithSpaces>16749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ruben cosenza</dc:creator>
  <cp:keywords/>
  <dc:description/>
  <cp:lastModifiedBy>c578965</cp:lastModifiedBy>
  <cp:revision>2</cp:revision>
  <dcterms:created xsi:type="dcterms:W3CDTF">2016-03-10T18:40:00Z</dcterms:created>
  <dcterms:modified xsi:type="dcterms:W3CDTF">2016-03-10T18:40:00Z</dcterms:modified>
</cp:coreProperties>
</file>