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DB" w:rsidRPr="00AC1CDB" w:rsidRDefault="00AC1CDB" w:rsidP="00AC1CDB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eastAsia="es-ES"/>
        </w:rPr>
      </w:pPr>
      <w:r w:rsidRPr="00AC1CDB">
        <w:rPr>
          <w:rFonts w:ascii="Century Gothic" w:eastAsia="Times New Roman" w:hAnsi="Century Gothic" w:cs="Times New Roman"/>
          <w:b/>
          <w:bCs/>
          <w:sz w:val="18"/>
          <w:szCs w:val="18"/>
          <w:lang w:eastAsia="es-ES"/>
        </w:rPr>
        <w:t xml:space="preserve">La verdadera </w:t>
      </w:r>
      <w:proofErr w:type="spellStart"/>
      <w:r w:rsidRPr="00AC1CDB">
        <w:rPr>
          <w:rFonts w:ascii="Century Gothic" w:eastAsia="Times New Roman" w:hAnsi="Century Gothic" w:cs="Times New Roman"/>
          <w:b/>
          <w:bCs/>
          <w:sz w:val="18"/>
          <w:szCs w:val="18"/>
          <w:lang w:eastAsia="es-ES"/>
        </w:rPr>
        <w:t>Blancanieves</w:t>
      </w:r>
      <w:proofErr w:type="spellEnd"/>
      <w:r w:rsidRPr="00AC1CDB">
        <w:rPr>
          <w:rFonts w:ascii="Century Gothic" w:eastAsia="Times New Roman" w:hAnsi="Century Gothic" w:cs="Times New Roman"/>
          <w:b/>
          <w:bCs/>
          <w:sz w:val="18"/>
          <w:szCs w:val="18"/>
          <w:lang w:eastAsia="es-ES"/>
        </w:rPr>
        <w:t xml:space="preserve"> </w:t>
      </w:r>
    </w:p>
    <w:p w:rsidR="002F5AA5" w:rsidRDefault="00AC1CDB" w:rsidP="00AC1CDB">
      <w:pPr>
        <w:spacing w:after="24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El famoso cuento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Blancanieves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está inspirado en una persona real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.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Gracias a la </w:t>
      </w:r>
      <w:r w:rsidRPr="00BE335E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investigación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del historiador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Lohr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Dr.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Karlheinz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Bartels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sobre el cuento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Blancanieves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y los Siete Enanitos, la </w:t>
      </w:r>
      <w:r w:rsidRPr="00BE335E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pintoresca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localidad, a orillas del río Meno, en la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Franconia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alemana, puede sentirse orgullosa de haber visto nacer, en 1729, a María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Sophia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Margaretha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Catharina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von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Erthal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personaje real que inspiró el literario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Blancanieves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. </w:t>
      </w:r>
      <w:r w:rsidRPr="00AC1CDB"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113030</wp:posOffset>
            </wp:positionV>
            <wp:extent cx="1483360" cy="1901825"/>
            <wp:effectExtent l="19050" t="0" r="2540" b="0"/>
            <wp:wrapTight wrapText="bothSides">
              <wp:wrapPolygon edited="0">
                <wp:start x="-277" y="0"/>
                <wp:lineTo x="-277" y="21420"/>
                <wp:lineTo x="21637" y="21420"/>
                <wp:lineTo x="21637" y="0"/>
                <wp:lineTo x="-277" y="0"/>
              </wp:wrapPolygon>
            </wp:wrapTight>
            <wp:docPr id="2" name="Imagen 2" descr="http://2.bp.blogspot.com/-2ukFKhWaP8E/UFS6_wgarLI/AAAAAAAAIgw/8cJ6miuWPao/s200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2ukFKhWaP8E/UFS6_wgarLI/AAAAAAAAIgw/8cJ6miuWPao/s200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br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            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La verdadera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Blancanieves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se crió en un castillo en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Lohr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Alemania. Hoy en día este castillo es un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museo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en el que se puede contemplar un espejo que, se cree, el padre de María, el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príncipe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Philipp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Christoph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von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Erthal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regaló a su segunda esposa. Aunque la relación entre María y su madrastra no fue tan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sombría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como en el cuento, los estudiosos, como el Dr.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Karlheinz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Bartels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creen que no fue una existencia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fácil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. Además la historia de María también cuenta con “enanos”, que eran los únicos “hombres” capaces de entrar por los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túneles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de la mina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Bieber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.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br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            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El padre de la niña que, por diversas circunstancias, devino en la ficción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Blancanieves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fue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Philipp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Christoph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von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Erthal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entre 1719 y 1748, Condestable del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territorio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Kurmainz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en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Lohr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. Por sus dotes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diplomáticas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viajaba frecuentemente como enviado en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misiones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especiales, una especie de ministro de Asuntos Exteriores del Ducado. Por eso, tuvo la oportunidad de relacionarse con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emperadores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reyes y reinas de toda Europa. De ahí que, en el imaginario de los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habitantes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Lohr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los “von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Erthals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” tuvieran todas las características de una familia real.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br/>
      </w:r>
      <w:r w:rsidR="003420DD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           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La residencia familiar era el castillo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Lohr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. Tras la muerte, en 1741, de la madre de María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Sophia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el padre se casó el 15 de mayo de 1743, con Claudia Elizabeth María von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Venningen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nacida Condesa Imperial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Reichenstein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.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br/>
      </w:r>
      <w:r w:rsidR="003420DD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          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En cuanto a “Los siete enanitos” eran niños que trabajaban en las minas de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Bieber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donde los mineros buscaban plata y cobre. Se trataría de niños desnutridos y envejecidos prematuramente por el trabajo en las minas, en este caso las de las propiedades </w:t>
      </w:r>
      <w:proofErr w:type="gram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de</w:t>
      </w:r>
      <w:r w:rsidR="003420DD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los</w:t>
      </w:r>
      <w:proofErr w:type="gram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Von </w:t>
      </w:r>
      <w:proofErr w:type="spellStart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>Waldek</w:t>
      </w:r>
      <w:proofErr w:type="spellEnd"/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. Debido a su pobreza, estos niños vestían largos abrigos y gorros muy parecidos a aquellos con los que se suele </w:t>
      </w:r>
      <w:r w:rsidRPr="000C4796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representar</w:t>
      </w:r>
      <w:r w:rsidRPr="00AC1CD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a los “siete enanitos” del cuento. </w:t>
      </w:r>
    </w:p>
    <w:p w:rsidR="003420DD" w:rsidRDefault="003420DD" w:rsidP="00AC1CDB">
      <w:pPr>
        <w:spacing w:after="24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¿Cuál es el tema central del texto que acabas de leer? Fundamenta tu respuesta</w:t>
      </w:r>
    </w:p>
    <w:p w:rsidR="003420DD" w:rsidRDefault="003420DD" w:rsidP="00AC1CDB">
      <w:pPr>
        <w:spacing w:after="24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En cada grupo de tres afirmaciones pinta la verdadera: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El cuento de </w:t>
      </w:r>
      <w:proofErr w:type="spellStart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Blancanieves</w:t>
      </w:r>
      <w:proofErr w:type="spellEnd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fue inspirado en un personaje real.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El cuento de </w:t>
      </w:r>
      <w:proofErr w:type="spellStart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Blancanieves</w:t>
      </w:r>
      <w:proofErr w:type="spellEnd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es ficción.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No se sabe aún si el cuento de </w:t>
      </w:r>
      <w:proofErr w:type="spellStart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Blancanieves</w:t>
      </w:r>
      <w:proofErr w:type="spellEnd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fue inspirado en un personaje real.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La verdadera historia se ubica en Europa.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La verdadera historia se ubica en Asia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La verdadera historia se ubicaba en un país que ya no existe debido a un exterminio masivo.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El padre de la María </w:t>
      </w:r>
      <w:proofErr w:type="spellStart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Sophia</w:t>
      </w:r>
      <w:proofErr w:type="spellEnd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era comerciante por eso viajaba mucho.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El padre de la María </w:t>
      </w:r>
      <w:proofErr w:type="spellStart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Sophia</w:t>
      </w:r>
      <w:proofErr w:type="spellEnd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era contrabandista por eso viajaba mucho.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El padre de María </w:t>
      </w:r>
      <w:proofErr w:type="spellStart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Sophia</w:t>
      </w:r>
      <w:proofErr w:type="spellEnd"/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era diplomático por eso viajaba mucho.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Los siete enanitos nunca existieron.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Los siete enanitos son una denuncia del trabajo infantil de la época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Los siete enanitos los inventó Disney para la película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Elabora un cuadro EGA, en tu cuaderno,  con las palabras pintadas del texto y pinta la sílaba tónica.</w:t>
      </w:r>
    </w:p>
    <w:p w:rsidR="003420DD" w:rsidRDefault="003420DD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AF6329" w:rsidRDefault="00AF6329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Completa el siguiente cuadro:</w:t>
      </w:r>
    </w:p>
    <w:p w:rsidR="00AF6329" w:rsidRDefault="00AF6329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AF6329" w:rsidRDefault="00AF6329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tbl>
      <w:tblPr>
        <w:tblStyle w:val="Tablaconcuadrcula"/>
        <w:tblW w:w="0" w:type="auto"/>
        <w:tblInd w:w="2087" w:type="dxa"/>
        <w:tblLook w:val="04A0"/>
      </w:tblPr>
      <w:tblGrid>
        <w:gridCol w:w="881"/>
        <w:gridCol w:w="840"/>
        <w:gridCol w:w="931"/>
        <w:gridCol w:w="894"/>
        <w:gridCol w:w="915"/>
        <w:gridCol w:w="1005"/>
        <w:gridCol w:w="1043"/>
      </w:tblGrid>
      <w:tr w:rsidR="00AF6329" w:rsidTr="00AF6329"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verbos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tiempo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persona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número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infinitivo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gerundio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participio</w:t>
            </w:r>
          </w:p>
        </w:tc>
      </w:tr>
      <w:tr w:rsidR="00AF6329" w:rsidTr="00AF6329"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está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</w:tr>
      <w:tr w:rsidR="00AF6329" w:rsidTr="00AF6329"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crió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</w:tr>
      <w:tr w:rsidR="00AF6329" w:rsidTr="00AF6329"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viajaba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</w:tr>
      <w:tr w:rsidR="00AF6329" w:rsidTr="00AF6329"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vestían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</w:tr>
      <w:tr w:rsidR="00AF6329" w:rsidTr="00AF6329"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era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</w:tr>
      <w:tr w:rsidR="00AF6329" w:rsidTr="00AF6329"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inspiró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</w:tr>
      <w:tr w:rsidR="00AF6329" w:rsidTr="00AF6329"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puede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</w:tr>
      <w:tr w:rsidR="00AF6329" w:rsidTr="00AF6329"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creen</w:t>
            </w: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F6329" w:rsidRDefault="00AF6329" w:rsidP="003420DD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</w:p>
        </w:tc>
      </w:tr>
    </w:tbl>
    <w:p w:rsidR="00AF6329" w:rsidRPr="00AC1CDB" w:rsidRDefault="00AF6329" w:rsidP="003420DD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sectPr w:rsidR="00AF6329" w:rsidRPr="00AC1CDB" w:rsidSect="00AC1CDB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1CDB"/>
    <w:rsid w:val="000C4796"/>
    <w:rsid w:val="002F4B8C"/>
    <w:rsid w:val="003420DD"/>
    <w:rsid w:val="004115FF"/>
    <w:rsid w:val="0056700C"/>
    <w:rsid w:val="00AC1CDB"/>
    <w:rsid w:val="00AF6329"/>
    <w:rsid w:val="00B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C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2ukFKhWaP8E/UFS6_wgarLI/AAAAAAAAIgw/8cJ6miuWPao/s1600/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2015-06-04T11:33:00Z</dcterms:created>
  <dcterms:modified xsi:type="dcterms:W3CDTF">2015-06-04T12:00:00Z</dcterms:modified>
</cp:coreProperties>
</file>