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80" w:leader="none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Nombre y grupo:_____________________________                                                                                             </w:t>
      </w:r>
    </w:p>
    <w:p>
      <w:pPr>
        <w:pStyle w:val="Normal"/>
        <w:tabs>
          <w:tab w:val="left" w:pos="5480" w:leader="none"/>
        </w:tabs>
        <w:jc w:val="center"/>
        <w:rPr>
          <w:b/>
          <w:b/>
          <w:sz w:val="24"/>
          <w:szCs w:val="24"/>
          <w:u w:val="single"/>
        </w:rPr>
      </w:pPr>
      <w:r>
        <w:rPr>
          <w:b/>
          <w:sz w:val="26"/>
          <w:szCs w:val="26"/>
          <w:u w:val="single"/>
        </w:rPr>
        <w:t xml:space="preserve">Examen 4to año Biarritz – 30 Noviembre 2018 - </w:t>
      </w:r>
      <w:r>
        <w:rPr>
          <w:b/>
          <w:sz w:val="24"/>
          <w:szCs w:val="24"/>
          <w:u w:val="single"/>
        </w:rPr>
        <w:t>Categoría C</w:t>
      </w:r>
    </w:p>
    <w:p>
      <w:pPr>
        <w:pStyle w:val="Normal"/>
        <w:tabs>
          <w:tab w:val="left" w:pos="548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Sorteo para desarrollo escrito de 4 puntos del programa para escrito, nuevo sorteo e otros tres puntos del programa para oral. </w:t>
      </w:r>
    </w:p>
    <w:p>
      <w:pPr>
        <w:pStyle w:val="Normal"/>
        <w:tabs>
          <w:tab w:val="left" w:pos="5480" w:leader="none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400040" cy="634174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63417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50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7515"/>
                              <w:gridCol w:w="988"/>
                            </w:tblGrid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117_778351079"/>
                                  <w:bookmarkEnd w:id="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Posibles modos de definir la Filosofía: por su término, por su historia, por los distintos significados asignados. Especificidad del saber filosófico y su método: no es un arte, no es una religión, no es una ciencia. Características que le son particulares.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118_778351079"/>
                                  <w:bookmarkStart w:id="2" w:name="__UnoMark__119_778351079"/>
                                  <w:bookmarkEnd w:id="1"/>
                                  <w:bookmarkEnd w:id="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" w:name="__UnoMark__120_778351079"/>
                                  <w:bookmarkStart w:id="4" w:name="__UnoMark__121_778351079"/>
                                  <w:bookmarkEnd w:id="3"/>
                                  <w:bookmarkEnd w:id="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Los problemas como el objeto de estudio de la Filosofía. Noción y características de los problemas filosóficos.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122_778351079"/>
                                  <w:bookmarkStart w:id="6" w:name="__UnoMark__123_778351079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124_778351079"/>
                                  <w:bookmarkStart w:id="8" w:name="__UnoMark__125_778351079"/>
                                  <w:bookmarkEnd w:id="7"/>
                                  <w:bookmarkEnd w:id="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Las ramas de la Filosofía, para qué están, la perspectiva desde la historicidad de los filósofos y sus sistemas de pensamiento: Aristóteles, Platón, Kant, Foucault.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126_778351079"/>
                                  <w:bookmarkStart w:id="10" w:name="__UnoMark__127_778351079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128_778351079"/>
                                  <w:bookmarkStart w:id="12" w:name="__UnoMark__129_778351079"/>
                                  <w:bookmarkEnd w:id="11"/>
                                  <w:bookmarkEnd w:id="1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Orígenes de la Filosofía según Karl Jaspers. Duda, asombro, situaciones límite.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130_778351079"/>
                                  <w:bookmarkStart w:id="14" w:name="__UnoMark__131_778351079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132_778351079"/>
                                  <w:bookmarkStart w:id="16" w:name="__UnoMark__133_778351079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Deleuze-Guattari ¿qué es la Filosofía? Nueva conceptualización de la asignatura desde el “giro lingüístico”.  “Protágoras” de Platón. Diálogo con Hipócrates: el sofista y el filósofo.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134_778351079"/>
                                  <w:bookmarkStart w:id="18" w:name="__UnoMark__135_778351079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" w:name="__UnoMark__136_778351079"/>
                                  <w:bookmarkStart w:id="20" w:name="__UnoMark__137_778351079"/>
                                  <w:bookmarkEnd w:id="19"/>
                                  <w:bookmarkEnd w:id="2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El lenguaje: nociones de semiótica. Persuadir, informar, argumentar, lenguaje directivo/operativo. La realidad mental como fluida y más rica que los estándares del lenguaje: C.Vaz Ferreira “lógica viva”.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" w:name="__UnoMark__138_778351079"/>
                                  <w:bookmarkStart w:id="22" w:name="__UnoMark__139_778351079"/>
                                  <w:bookmarkEnd w:id="21"/>
                                  <w:bookmarkEnd w:id="2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140_778351079"/>
                                  <w:bookmarkStart w:id="24" w:name="__UnoMark__141_778351079"/>
                                  <w:bookmarkEnd w:id="23"/>
                                  <w:bookmarkEnd w:id="2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El lenguaje: nociones de semiótica. Persuadir, informar, argumentar, lenguaje directivo/operativo. Wittgenstein “conferencia sobre ética”: el lenguaje como restricción del pensamiento y la realidad.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" w:name="__UnoMark__142_778351079"/>
                                  <w:bookmarkStart w:id="26" w:name="__UnoMark__143_778351079"/>
                                  <w:bookmarkEnd w:id="25"/>
                                  <w:bookmarkEnd w:id="2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144_778351079"/>
                                  <w:bookmarkEnd w:id="27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Las apelaciones como falacias no formales como modos de construir nuestras intenciones en un discurso para relacionarnos con los demás.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" w:name="__UnoMark__145_778351079"/>
                                  <w:bookmarkEnd w:id="2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Schopenhauer: estrategias para ganar una discusión.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9" w:name="__UnoMark__146_778351079"/>
                                  <w:bookmarkStart w:id="30" w:name="__UnoMark__147_778351079"/>
                                  <w:bookmarkEnd w:id="29"/>
                                  <w:bookmarkEnd w:id="3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148_778351079"/>
                                  <w:bookmarkStart w:id="32" w:name="__UnoMark__149_778351079"/>
                                  <w:bookmarkEnd w:id="31"/>
                                  <w:bookmarkEnd w:id="3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Definición y objeto de estudio como parte científico (antropología biológica, antropología cultural) y parte filosófico. Estudio de casos de niños salvajes. La condición de libertad en Sartre.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" w:name="__UnoMark__150_778351079"/>
                                  <w:bookmarkStart w:id="34" w:name="__UnoMark__151_778351079"/>
                                  <w:bookmarkEnd w:id="33"/>
                                  <w:bookmarkEnd w:id="3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152_778351079"/>
                                  <w:bookmarkStart w:id="36" w:name="__UnoMark__153_778351079"/>
                                  <w:bookmarkEnd w:id="35"/>
                                  <w:bookmarkEnd w:id="3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La condición de libertad en Sartre.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7" w:name="__UnoMark__154_778351079"/>
                                  <w:bookmarkEnd w:id="37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25.2pt;height:499.35pt;mso-wrap-distance-left:7.05pt;mso-wrap-distance-right:7.05pt;mso-wrap-distance-top:0pt;mso-wrap-distance-bottom:0pt;margin-top:7.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50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7515"/>
                        <w:gridCol w:w="988"/>
                      </w:tblGrid>
                      <w:tr>
                        <w:trPr>
                          <w:trHeight w:val="566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" w:name="__UnoMark__117_778351079"/>
                            <w:bookmarkEnd w:id="3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Posibles modos de definir la Filosofía: por su término, por su historia, por los distintos significados asignados. Especificidad del saber filosófico y su método: no es un arte, no es una religión, no es una ciencia. Características que le son particulares.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" w:name="__UnoMark__118_778351079"/>
                            <w:bookmarkStart w:id="40" w:name="__UnoMark__119_778351079"/>
                            <w:bookmarkEnd w:id="39"/>
                            <w:bookmarkEnd w:id="4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" w:name="__UnoMark__120_778351079"/>
                            <w:bookmarkStart w:id="42" w:name="__UnoMark__121_778351079"/>
                            <w:bookmarkEnd w:id="41"/>
                            <w:bookmarkEnd w:id="4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Los problemas como el objeto de estudio de la Filosofía. Noción y características de los problemas filosóficos.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" w:name="__UnoMark__122_778351079"/>
                            <w:bookmarkStart w:id="44" w:name="__UnoMark__123_778351079"/>
                            <w:bookmarkEnd w:id="43"/>
                            <w:bookmarkEnd w:id="4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55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" w:name="__UnoMark__124_778351079"/>
                            <w:bookmarkStart w:id="46" w:name="__UnoMark__125_778351079"/>
                            <w:bookmarkEnd w:id="45"/>
                            <w:bookmarkEnd w:id="4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Las ramas de la Filosofía, para qué están, la perspectiva desde la historicidad de los filósofos y sus sistemas de pensamiento: Aristóteles, Platón, Kant, Foucault.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" w:name="__UnoMark__126_778351079"/>
                            <w:bookmarkStart w:id="48" w:name="__UnoMark__127_778351079"/>
                            <w:bookmarkEnd w:id="47"/>
                            <w:bookmarkEnd w:id="4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" w:name="__UnoMark__128_778351079"/>
                            <w:bookmarkStart w:id="50" w:name="__UnoMark__129_778351079"/>
                            <w:bookmarkEnd w:id="49"/>
                            <w:bookmarkEnd w:id="5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Orígenes de la Filosofía según Karl Jaspers. Duda, asombro, situaciones límite.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" w:name="__UnoMark__130_778351079"/>
                            <w:bookmarkStart w:id="52" w:name="__UnoMark__131_778351079"/>
                            <w:bookmarkEnd w:id="51"/>
                            <w:bookmarkEnd w:id="5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3" w:name="__UnoMark__132_778351079"/>
                            <w:bookmarkStart w:id="54" w:name="__UnoMark__133_778351079"/>
                            <w:bookmarkEnd w:id="53"/>
                            <w:bookmarkEnd w:id="5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Deleuze-Guattari ¿qué es la Filosofía? Nueva conceptualización de la asignatura desde el “giro lingüístico”.  “Protágoras” de Platón. Diálogo con Hipócrates: el sofista y el filósofo.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" w:name="__UnoMark__134_778351079"/>
                            <w:bookmarkStart w:id="56" w:name="__UnoMark__135_778351079"/>
                            <w:bookmarkEnd w:id="55"/>
                            <w:bookmarkEnd w:id="5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7" w:name="__UnoMark__136_778351079"/>
                            <w:bookmarkStart w:id="58" w:name="__UnoMark__137_778351079"/>
                            <w:bookmarkEnd w:id="57"/>
                            <w:bookmarkEnd w:id="5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El lenguaje: nociones de semiótica. Persuadir, informar, argumentar, lenguaje directivo/operativo. La realidad mental como fluida y más rica que los estándares del lenguaje: C.Vaz Ferreira “lógica viva”.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9" w:name="__UnoMark__138_778351079"/>
                            <w:bookmarkStart w:id="60" w:name="__UnoMark__139_778351079"/>
                            <w:bookmarkEnd w:id="59"/>
                            <w:bookmarkEnd w:id="6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1" w:name="__UnoMark__140_778351079"/>
                            <w:bookmarkStart w:id="62" w:name="__UnoMark__141_778351079"/>
                            <w:bookmarkEnd w:id="61"/>
                            <w:bookmarkEnd w:id="6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El lenguaje: nociones de semiótica. Persuadir, informar, argumentar, lenguaje directivo/operativo. Wittgenstein “conferencia sobre ética”: el lenguaje como restricción del pensamiento y la realidad.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3" w:name="__UnoMark__142_778351079"/>
                            <w:bookmarkStart w:id="64" w:name="__UnoMark__143_778351079"/>
                            <w:bookmarkEnd w:id="63"/>
                            <w:bookmarkEnd w:id="6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5" w:name="__UnoMark__144_778351079"/>
                            <w:bookmarkEnd w:id="65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Las apelaciones como falacias no formales como modos de construir nuestras intenciones en un discurso para relacionarnos con los demás.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6" w:name="__UnoMark__145_778351079"/>
                            <w:bookmarkEnd w:id="6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Schopenhauer: estrategias para ganar una discusión.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7" w:name="__UnoMark__146_778351079"/>
                            <w:bookmarkStart w:id="68" w:name="__UnoMark__147_778351079"/>
                            <w:bookmarkEnd w:id="67"/>
                            <w:bookmarkEnd w:id="6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9" w:name="__UnoMark__148_778351079"/>
                            <w:bookmarkStart w:id="70" w:name="__UnoMark__149_778351079"/>
                            <w:bookmarkEnd w:id="69"/>
                            <w:bookmarkEnd w:id="7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Definición y objeto de estudio como parte científico (antropología biológica, antropología cultural) y parte filosófico. Estudio de casos de niños salvajes. La condición de libertad en Sartre.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1" w:name="__UnoMark__150_778351079"/>
                            <w:bookmarkStart w:id="72" w:name="__UnoMark__151_778351079"/>
                            <w:bookmarkEnd w:id="71"/>
                            <w:bookmarkEnd w:id="7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3" w:name="__UnoMark__152_778351079"/>
                            <w:bookmarkStart w:id="74" w:name="__UnoMark__153_778351079"/>
                            <w:bookmarkEnd w:id="73"/>
                            <w:bookmarkEnd w:id="7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La condición de libertad en Sartre.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5" w:name="__UnoMark__154_778351079"/>
                            <w:bookmarkEnd w:id="75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10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Observaciones de corrección docentes: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f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d3fec"/>
    <w:rPr>
      <w:color w:val="0000FF"/>
      <w:u w:val="single"/>
    </w:rPr>
  </w:style>
  <w:style w:type="character" w:styleId="ListLabel1">
    <w:name w:val="ListLabel 1"/>
    <w:qFormat/>
    <w:rPr>
      <w:rFonts w:eastAsia="Times New Roman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LibreOffice/5.1.6.2$Linux_X86_64 LibreOffice_project/10m0$Build-2</Application>
  <Pages>1</Pages>
  <Words>281</Words>
  <Characters>1635</Characters>
  <CharactersWithSpaces>1982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2017-12-06T16:47:00Z</dcterms:created>
  <dc:creator>Vale</dc:creator>
  <dc:description/>
  <dc:language>es-AR</dc:language>
  <cp:lastModifiedBy/>
  <cp:lastPrinted>2018-11-29T20:43:00Z</cp:lastPrinted>
  <dcterms:modified xsi:type="dcterms:W3CDTF">2019-06-28T15:30:14Z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